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F59BF" w14:textId="77777777" w:rsidR="00140A36" w:rsidRDefault="00140A36" w:rsidP="00140A36">
      <w:pPr>
        <w:autoSpaceDE w:val="0"/>
        <w:autoSpaceDN w:val="0"/>
        <w:adjustRightInd w:val="0"/>
        <w:spacing w:after="0" w:line="240" w:lineRule="auto"/>
        <w:rPr>
          <w:rFonts w:ascii="Helvetica-Bold" w:hAnsi="Helvetica-Bold" w:cs="Helvetica-Bold"/>
          <w:b/>
          <w:bCs/>
          <w:color w:val="000000"/>
          <w:sz w:val="20"/>
          <w:szCs w:val="20"/>
        </w:rPr>
      </w:pPr>
    </w:p>
    <w:p w14:paraId="6B12AA1C" w14:textId="77777777" w:rsidR="00140A36" w:rsidRDefault="00140A36" w:rsidP="00140A36">
      <w:pPr>
        <w:autoSpaceDE w:val="0"/>
        <w:autoSpaceDN w:val="0"/>
        <w:adjustRightInd w:val="0"/>
        <w:spacing w:after="0" w:line="240" w:lineRule="auto"/>
        <w:rPr>
          <w:rFonts w:ascii="Helvetica-Bold" w:hAnsi="Helvetica-Bold" w:cs="Helvetica-Bold"/>
          <w:b/>
          <w:bCs/>
          <w:color w:val="000000"/>
          <w:sz w:val="20"/>
          <w:szCs w:val="20"/>
        </w:rPr>
      </w:pPr>
    </w:p>
    <w:p w14:paraId="4614D714" w14:textId="77777777"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14:paraId="288BEB1D" w14:textId="77777777"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14:paraId="1AC79101" w14:textId="77777777"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14:paraId="75128231" w14:textId="77777777"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14:paraId="62197FCB" w14:textId="77777777"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14:paraId="07488177" w14:textId="77777777"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14:paraId="039B693B" w14:textId="77777777" w:rsidR="00140A36" w:rsidRDefault="00140A36" w:rsidP="00140A36">
      <w:pPr>
        <w:autoSpaceDE w:val="0"/>
        <w:autoSpaceDN w:val="0"/>
        <w:adjustRightInd w:val="0"/>
        <w:spacing w:after="0" w:line="240" w:lineRule="auto"/>
        <w:jc w:val="center"/>
        <w:rPr>
          <w:rFonts w:ascii="Helvetica-Bold" w:hAnsi="Helvetica-Bold" w:cs="Helvetica-Bold"/>
          <w:b/>
          <w:bCs/>
          <w:color w:val="000000"/>
          <w:sz w:val="36"/>
          <w:szCs w:val="36"/>
        </w:rPr>
      </w:pPr>
    </w:p>
    <w:p w14:paraId="7C20BC58"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14:paraId="0EE679DA" w14:textId="77777777" w:rsidR="00140A36" w:rsidRPr="00CD4EDF" w:rsidRDefault="00140A36" w:rsidP="00247EBB">
      <w:pPr>
        <w:autoSpaceDE w:val="0"/>
        <w:autoSpaceDN w:val="0"/>
        <w:adjustRightInd w:val="0"/>
        <w:spacing w:after="0" w:line="240" w:lineRule="auto"/>
        <w:rPr>
          <w:rFonts w:ascii="Book Antiqua" w:hAnsi="Book Antiqua" w:cs="Helvetica-Bold"/>
          <w:b/>
          <w:bCs/>
          <w:color w:val="000000"/>
          <w:sz w:val="36"/>
          <w:szCs w:val="36"/>
        </w:rPr>
      </w:pPr>
    </w:p>
    <w:p w14:paraId="3ADD59AA"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14:paraId="58C5B4CF" w14:textId="77777777" w:rsidR="00140A36" w:rsidRPr="00CD4EDF" w:rsidRDefault="00D02BD7" w:rsidP="00247EBB">
      <w:pPr>
        <w:autoSpaceDE w:val="0"/>
        <w:autoSpaceDN w:val="0"/>
        <w:adjustRightInd w:val="0"/>
        <w:spacing w:after="0" w:line="240" w:lineRule="auto"/>
        <w:jc w:val="center"/>
        <w:rPr>
          <w:rFonts w:ascii="Book Antiqua" w:hAnsi="Book Antiqua" w:cs="Helvetica-Bold"/>
          <w:b/>
          <w:bCs/>
          <w:color w:val="000000"/>
          <w:sz w:val="36"/>
          <w:szCs w:val="36"/>
        </w:rPr>
      </w:pPr>
      <w:r w:rsidRPr="00CD4EDF">
        <w:rPr>
          <w:rFonts w:ascii="Book Antiqua" w:hAnsi="Book Antiqua" w:cs="Helvetica-Bold"/>
          <w:b/>
          <w:bCs/>
          <w:color w:val="000000"/>
          <w:sz w:val="36"/>
          <w:szCs w:val="36"/>
        </w:rPr>
        <w:t xml:space="preserve">STATEMENT </w:t>
      </w:r>
      <w:r>
        <w:rPr>
          <w:rFonts w:ascii="Book Antiqua" w:hAnsi="Book Antiqua" w:cs="Helvetica-Bold"/>
          <w:b/>
          <w:bCs/>
          <w:color w:val="000000"/>
          <w:sz w:val="36"/>
          <w:szCs w:val="36"/>
        </w:rPr>
        <w:t>OF METHODOLOGY AND CHARGES FOR USE OF SYSTEM</w:t>
      </w:r>
    </w:p>
    <w:p w14:paraId="33B6522D"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6"/>
          <w:szCs w:val="36"/>
        </w:rPr>
      </w:pPr>
    </w:p>
    <w:p w14:paraId="747B4E2E" w14:textId="6B21B4D3" w:rsidR="00140A36" w:rsidRDefault="005737D6" w:rsidP="00140A36">
      <w:pPr>
        <w:autoSpaceDE w:val="0"/>
        <w:autoSpaceDN w:val="0"/>
        <w:adjustRightInd w:val="0"/>
        <w:spacing w:after="0" w:line="240" w:lineRule="auto"/>
        <w:jc w:val="center"/>
        <w:rPr>
          <w:rFonts w:ascii="Book Antiqua" w:hAnsi="Book Antiqua" w:cs="Helvetica-Bold"/>
          <w:b/>
          <w:bCs/>
          <w:color w:val="000000"/>
          <w:sz w:val="32"/>
          <w:szCs w:val="32"/>
        </w:rPr>
      </w:pPr>
      <w:r>
        <w:rPr>
          <w:rFonts w:ascii="Book Antiqua" w:hAnsi="Book Antiqua" w:cs="Helvetica-Bold"/>
          <w:b/>
          <w:bCs/>
          <w:color w:val="000000"/>
          <w:sz w:val="32"/>
          <w:szCs w:val="32"/>
        </w:rPr>
        <w:t>Final</w:t>
      </w:r>
      <w:r w:rsidR="004264A1">
        <w:rPr>
          <w:rFonts w:ascii="Book Antiqua" w:hAnsi="Book Antiqua" w:cs="Helvetica-Bold"/>
          <w:b/>
          <w:bCs/>
          <w:color w:val="000000"/>
          <w:sz w:val="32"/>
          <w:szCs w:val="32"/>
        </w:rPr>
        <w:t xml:space="preserve"> Statement</w:t>
      </w:r>
    </w:p>
    <w:p w14:paraId="39731FA4" w14:textId="77777777" w:rsidR="004264A1" w:rsidRPr="00CD4EDF" w:rsidRDefault="004264A1" w:rsidP="00140A36">
      <w:pPr>
        <w:autoSpaceDE w:val="0"/>
        <w:autoSpaceDN w:val="0"/>
        <w:adjustRightInd w:val="0"/>
        <w:spacing w:after="0" w:line="240" w:lineRule="auto"/>
        <w:jc w:val="center"/>
        <w:rPr>
          <w:rFonts w:ascii="Book Antiqua" w:hAnsi="Book Antiqua" w:cs="Helvetica-Bold"/>
          <w:b/>
          <w:bCs/>
          <w:color w:val="000000"/>
          <w:sz w:val="32"/>
          <w:szCs w:val="32"/>
        </w:rPr>
      </w:pPr>
    </w:p>
    <w:p w14:paraId="1091A3D5" w14:textId="64F22026" w:rsidR="00140A36" w:rsidRPr="00CD4EDF" w:rsidRDefault="005737D6" w:rsidP="00247EBB">
      <w:pPr>
        <w:autoSpaceDE w:val="0"/>
        <w:autoSpaceDN w:val="0"/>
        <w:adjustRightInd w:val="0"/>
        <w:spacing w:after="0" w:line="240" w:lineRule="auto"/>
        <w:jc w:val="center"/>
        <w:rPr>
          <w:rFonts w:ascii="Book Antiqua" w:hAnsi="Book Antiqua" w:cs="Helvetica-Bold"/>
          <w:b/>
          <w:bCs/>
          <w:color w:val="000000"/>
          <w:sz w:val="32"/>
          <w:szCs w:val="32"/>
        </w:rPr>
      </w:pPr>
      <w:r>
        <w:rPr>
          <w:rFonts w:ascii="Book Antiqua" w:hAnsi="Book Antiqua" w:cs="Helvetica-Bold"/>
          <w:b/>
          <w:bCs/>
          <w:color w:val="000000"/>
          <w:sz w:val="32"/>
          <w:szCs w:val="32"/>
        </w:rPr>
        <w:t>E</w:t>
      </w:r>
      <w:r w:rsidR="00140A36" w:rsidRPr="00CD4EDF">
        <w:rPr>
          <w:rFonts w:ascii="Book Antiqua" w:hAnsi="Book Antiqua" w:cs="Helvetica-Bold"/>
          <w:b/>
          <w:bCs/>
          <w:color w:val="000000"/>
          <w:sz w:val="32"/>
          <w:szCs w:val="32"/>
        </w:rPr>
        <w:t xml:space="preserve">ffective from </w:t>
      </w:r>
      <w:r w:rsidR="00266589">
        <w:rPr>
          <w:rFonts w:ascii="Book Antiqua" w:hAnsi="Book Antiqua" w:cs="Helvetica-Bold"/>
          <w:b/>
          <w:bCs/>
          <w:color w:val="000000"/>
          <w:sz w:val="32"/>
          <w:szCs w:val="32"/>
        </w:rPr>
        <w:t>1</w:t>
      </w:r>
      <w:r w:rsidR="00266589">
        <w:rPr>
          <w:rFonts w:ascii="Book Antiqua" w:hAnsi="Book Antiqua" w:cs="Helvetica-Bold"/>
          <w:b/>
          <w:bCs/>
          <w:color w:val="000000"/>
          <w:sz w:val="32"/>
          <w:szCs w:val="32"/>
          <w:vertAlign w:val="superscript"/>
        </w:rPr>
        <w:t xml:space="preserve">st </w:t>
      </w:r>
      <w:r w:rsidR="00266589">
        <w:rPr>
          <w:rFonts w:ascii="Book Antiqua" w:hAnsi="Book Antiqua" w:cs="Helvetica-Bold"/>
          <w:b/>
          <w:bCs/>
          <w:color w:val="000000"/>
          <w:sz w:val="32"/>
          <w:szCs w:val="32"/>
        </w:rPr>
        <w:t>October 2015</w:t>
      </w:r>
    </w:p>
    <w:p w14:paraId="3E46E045"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40169241"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3CF5A3A0"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36930D10"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4268F3C8"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4F5D18BF"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418B301A"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13C131AF"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759BD10D"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75AFCEB0"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74993696" w14:textId="77777777" w:rsidR="00247EBB" w:rsidRPr="00CD4EDF" w:rsidRDefault="00247EBB" w:rsidP="00247EBB">
      <w:pPr>
        <w:autoSpaceDE w:val="0"/>
        <w:autoSpaceDN w:val="0"/>
        <w:adjustRightInd w:val="0"/>
        <w:spacing w:after="0" w:line="240" w:lineRule="auto"/>
        <w:rPr>
          <w:rFonts w:ascii="Book Antiqua" w:hAnsi="Book Antiqua" w:cs="Helvetica-Bold"/>
          <w:b/>
          <w:bCs/>
          <w:color w:val="000000"/>
        </w:rPr>
      </w:pPr>
    </w:p>
    <w:p w14:paraId="34D0140D" w14:textId="77777777" w:rsidR="00247EBB" w:rsidRPr="00CD4EDF" w:rsidRDefault="00247EBB" w:rsidP="00140A36">
      <w:pPr>
        <w:autoSpaceDE w:val="0"/>
        <w:autoSpaceDN w:val="0"/>
        <w:adjustRightInd w:val="0"/>
        <w:spacing w:after="0" w:line="240" w:lineRule="auto"/>
        <w:jc w:val="center"/>
        <w:rPr>
          <w:rFonts w:ascii="Book Antiqua" w:hAnsi="Book Antiqua" w:cs="Helvetica-Bold"/>
          <w:b/>
          <w:bCs/>
          <w:color w:val="000000"/>
        </w:rPr>
      </w:pPr>
    </w:p>
    <w:p w14:paraId="2D9DFE6E" w14:textId="77777777" w:rsidR="00247EBB" w:rsidRPr="00CD4EDF" w:rsidRDefault="00247EBB" w:rsidP="00140A36">
      <w:pPr>
        <w:autoSpaceDE w:val="0"/>
        <w:autoSpaceDN w:val="0"/>
        <w:adjustRightInd w:val="0"/>
        <w:spacing w:after="0" w:line="240" w:lineRule="auto"/>
        <w:jc w:val="center"/>
        <w:rPr>
          <w:rFonts w:ascii="Book Antiqua" w:hAnsi="Book Antiqua" w:cs="Helvetica-Bold"/>
          <w:b/>
          <w:bCs/>
          <w:color w:val="000000"/>
        </w:rPr>
      </w:pPr>
    </w:p>
    <w:p w14:paraId="21369549"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rPr>
      </w:pPr>
    </w:p>
    <w:p w14:paraId="4609C465"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7FC03D57"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0CFE2CF8" w14:textId="77777777" w:rsidR="00140A36" w:rsidRPr="00CD4EDF"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0E0FCB09" w14:textId="77777777" w:rsidR="00140A36" w:rsidRDefault="00140A36" w:rsidP="00140A36">
      <w:pPr>
        <w:autoSpaceDE w:val="0"/>
        <w:autoSpaceDN w:val="0"/>
        <w:adjustRightInd w:val="0"/>
        <w:spacing w:after="0" w:line="240" w:lineRule="auto"/>
        <w:jc w:val="center"/>
        <w:rPr>
          <w:rFonts w:ascii="Book Antiqua" w:hAnsi="Book Antiqua" w:cs="Helvetica-Bold"/>
          <w:b/>
          <w:bCs/>
          <w:color w:val="000000"/>
          <w:sz w:val="32"/>
          <w:szCs w:val="32"/>
        </w:rPr>
      </w:pPr>
    </w:p>
    <w:p w14:paraId="0EECE0CE" w14:textId="77777777" w:rsidR="008D0F41" w:rsidRDefault="008D0F41" w:rsidP="00140A36">
      <w:pPr>
        <w:autoSpaceDE w:val="0"/>
        <w:autoSpaceDN w:val="0"/>
        <w:adjustRightInd w:val="0"/>
        <w:spacing w:after="0" w:line="240" w:lineRule="auto"/>
        <w:jc w:val="center"/>
        <w:rPr>
          <w:rFonts w:ascii="Book Antiqua" w:hAnsi="Book Antiqua" w:cs="Helvetica-Bold"/>
          <w:b/>
          <w:bCs/>
          <w:color w:val="000000"/>
          <w:sz w:val="32"/>
          <w:szCs w:val="32"/>
        </w:rPr>
      </w:pPr>
    </w:p>
    <w:p w14:paraId="3078EBB8" w14:textId="77777777" w:rsidR="008D0F41" w:rsidRDefault="008D0F41" w:rsidP="00140A36">
      <w:pPr>
        <w:autoSpaceDE w:val="0"/>
        <w:autoSpaceDN w:val="0"/>
        <w:adjustRightInd w:val="0"/>
        <w:spacing w:after="0" w:line="240" w:lineRule="auto"/>
        <w:jc w:val="center"/>
        <w:rPr>
          <w:rFonts w:ascii="Book Antiqua" w:hAnsi="Book Antiqua" w:cs="Helvetica-Bold"/>
          <w:b/>
          <w:bCs/>
          <w:color w:val="000000"/>
          <w:sz w:val="32"/>
          <w:szCs w:val="32"/>
        </w:rPr>
      </w:pPr>
    </w:p>
    <w:p w14:paraId="29F7C41E" w14:textId="77777777"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14:paraId="212B774F" w14:textId="77777777"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14:paraId="1B8CE552" w14:textId="77777777"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14:paraId="0746498B" w14:textId="77777777"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14:paraId="2E80094D" w14:textId="77777777" w:rsidR="00EB21B4" w:rsidRPr="00CD4EDF" w:rsidRDefault="00EB21B4" w:rsidP="00E2481B">
      <w:pPr>
        <w:autoSpaceDE w:val="0"/>
        <w:autoSpaceDN w:val="0"/>
        <w:adjustRightInd w:val="0"/>
        <w:spacing w:after="0" w:line="240" w:lineRule="auto"/>
        <w:rPr>
          <w:rFonts w:ascii="Book Antiqua" w:hAnsi="Book Antiqua" w:cs="Helvetica-Bold"/>
          <w:b/>
          <w:bCs/>
          <w:color w:val="000000"/>
          <w:sz w:val="20"/>
          <w:szCs w:val="20"/>
          <w:u w:val="single"/>
        </w:rPr>
      </w:pPr>
    </w:p>
    <w:p w14:paraId="00F1A478" w14:textId="77777777" w:rsidR="00E2481B" w:rsidRPr="00CD4EDF" w:rsidRDefault="00E2481B" w:rsidP="00E2481B">
      <w:pPr>
        <w:autoSpaceDE w:val="0"/>
        <w:autoSpaceDN w:val="0"/>
        <w:adjustRightInd w:val="0"/>
        <w:spacing w:after="0" w:line="240" w:lineRule="auto"/>
        <w:rPr>
          <w:rFonts w:ascii="Book Antiqua" w:hAnsi="Book Antiqua" w:cs="Helvetica-Bold"/>
          <w:b/>
          <w:bCs/>
          <w:color w:val="000000"/>
          <w:sz w:val="20"/>
          <w:szCs w:val="20"/>
          <w:u w:val="single"/>
        </w:rPr>
      </w:pPr>
      <w:r w:rsidRPr="00CD4EDF">
        <w:rPr>
          <w:rFonts w:ascii="Book Antiqua" w:hAnsi="Book Antiqua" w:cs="Helvetica-Bold"/>
          <w:b/>
          <w:bCs/>
          <w:color w:val="000000"/>
          <w:sz w:val="20"/>
          <w:szCs w:val="20"/>
          <w:u w:val="single"/>
        </w:rPr>
        <w:t>VERSION CONTROL</w:t>
      </w:r>
    </w:p>
    <w:p w14:paraId="513F4CBC" w14:textId="77777777" w:rsidR="00F334F0" w:rsidRPr="00CD4EDF" w:rsidRDefault="00F334F0" w:rsidP="00E2481B">
      <w:pPr>
        <w:autoSpaceDE w:val="0"/>
        <w:autoSpaceDN w:val="0"/>
        <w:adjustRightInd w:val="0"/>
        <w:spacing w:after="0" w:line="240" w:lineRule="auto"/>
        <w:rPr>
          <w:rFonts w:ascii="Book Antiqua" w:hAnsi="Book Antiqua" w:cs="Helvetica-Bold"/>
          <w:b/>
          <w:bCs/>
          <w:color w:val="000000"/>
          <w:sz w:val="20"/>
          <w:szCs w:val="20"/>
          <w:u w:val="single"/>
        </w:rPr>
      </w:pPr>
    </w:p>
    <w:p w14:paraId="046FAA88" w14:textId="77777777" w:rsidR="00F334F0" w:rsidRDefault="00F334F0" w:rsidP="00E2481B">
      <w:pPr>
        <w:autoSpaceDE w:val="0"/>
        <w:autoSpaceDN w:val="0"/>
        <w:adjustRightInd w:val="0"/>
        <w:spacing w:after="0" w:line="240" w:lineRule="auto"/>
        <w:rPr>
          <w:rFonts w:ascii="Book Antiqua" w:hAnsi="Book Antiqua" w:cs="Helvetica-Bold"/>
          <w:b/>
          <w:bCs/>
          <w:color w:val="000000"/>
          <w:sz w:val="20"/>
          <w:szCs w:val="20"/>
          <w:u w:val="single"/>
        </w:rPr>
      </w:pPr>
      <w:bookmarkStart w:id="0" w:name="_GoBack"/>
      <w:bookmarkEnd w:id="0"/>
    </w:p>
    <w:p w14:paraId="4AEDE75E" w14:textId="77777777" w:rsidR="00CD4EDF" w:rsidRDefault="00CD4EDF" w:rsidP="00E2481B">
      <w:pPr>
        <w:autoSpaceDE w:val="0"/>
        <w:autoSpaceDN w:val="0"/>
        <w:adjustRightInd w:val="0"/>
        <w:spacing w:after="0" w:line="240" w:lineRule="auto"/>
        <w:rPr>
          <w:rFonts w:ascii="Book Antiqua" w:hAnsi="Book Antiqua" w:cs="Helvetica-Bold"/>
          <w:b/>
          <w:bCs/>
          <w:color w:val="000000"/>
          <w:sz w:val="20"/>
          <w:szCs w:val="20"/>
          <w:u w:val="single"/>
        </w:rPr>
      </w:pPr>
    </w:p>
    <w:p w14:paraId="23D1D153" w14:textId="77777777" w:rsidR="00CD4EDF" w:rsidRPr="00CD4EDF" w:rsidRDefault="00CD4EDF" w:rsidP="00E2481B">
      <w:pPr>
        <w:autoSpaceDE w:val="0"/>
        <w:autoSpaceDN w:val="0"/>
        <w:adjustRightInd w:val="0"/>
        <w:spacing w:after="0" w:line="240" w:lineRule="auto"/>
        <w:rPr>
          <w:rFonts w:ascii="Book Antiqua" w:hAnsi="Book Antiqua" w:cs="Helvetica-Bold"/>
          <w:b/>
          <w:bCs/>
          <w:color w:val="000000"/>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2634"/>
        <w:gridCol w:w="2634"/>
      </w:tblGrid>
      <w:tr w:rsidR="00E811B3" w:rsidRPr="008C4707" w14:paraId="0CD75BA7" w14:textId="77777777" w:rsidTr="00742ABC">
        <w:trPr>
          <w:trHeight w:val="213"/>
          <w:jc w:val="center"/>
        </w:trPr>
        <w:tc>
          <w:tcPr>
            <w:tcW w:w="2634" w:type="dxa"/>
            <w:shd w:val="clear" w:color="auto" w:fill="auto"/>
          </w:tcPr>
          <w:p w14:paraId="43581E44" w14:textId="77777777"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Version Number</w:t>
            </w:r>
          </w:p>
        </w:tc>
        <w:tc>
          <w:tcPr>
            <w:tcW w:w="2634" w:type="dxa"/>
            <w:shd w:val="clear" w:color="auto" w:fill="auto"/>
          </w:tcPr>
          <w:p w14:paraId="268DEAA0" w14:textId="77777777"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Revision Details</w:t>
            </w:r>
          </w:p>
        </w:tc>
        <w:tc>
          <w:tcPr>
            <w:tcW w:w="2634" w:type="dxa"/>
            <w:shd w:val="clear" w:color="auto" w:fill="auto"/>
          </w:tcPr>
          <w:p w14:paraId="2D6EC063" w14:textId="77777777" w:rsidR="00CD4EDF" w:rsidRPr="008C4707" w:rsidRDefault="00CD4EDF" w:rsidP="00742ABC">
            <w:pPr>
              <w:autoSpaceDE w:val="0"/>
              <w:autoSpaceDN w:val="0"/>
              <w:adjustRightInd w:val="0"/>
              <w:spacing w:after="0"/>
              <w:jc w:val="center"/>
              <w:rPr>
                <w:rFonts w:ascii="Book Antiqua" w:hAnsi="Book Antiqua" w:cs="Century Gothic"/>
                <w:b/>
                <w:bCs/>
                <w:sz w:val="21"/>
                <w:szCs w:val="21"/>
                <w:lang w:eastAsia="en-GB"/>
              </w:rPr>
            </w:pPr>
            <w:r w:rsidRPr="008C4707">
              <w:rPr>
                <w:rFonts w:ascii="Book Antiqua" w:hAnsi="Book Antiqua" w:cs="Century Gothic"/>
                <w:b/>
                <w:bCs/>
                <w:sz w:val="21"/>
                <w:szCs w:val="21"/>
                <w:lang w:eastAsia="en-GB"/>
              </w:rPr>
              <w:t>Date</w:t>
            </w:r>
          </w:p>
        </w:tc>
      </w:tr>
      <w:tr w:rsidR="00E811B3" w:rsidRPr="008C4707" w14:paraId="03F0299F" w14:textId="77777777" w:rsidTr="00742ABC">
        <w:trPr>
          <w:trHeight w:val="201"/>
          <w:jc w:val="center"/>
        </w:trPr>
        <w:tc>
          <w:tcPr>
            <w:tcW w:w="2634" w:type="dxa"/>
            <w:shd w:val="clear" w:color="auto" w:fill="auto"/>
          </w:tcPr>
          <w:p w14:paraId="3CE3C64C" w14:textId="22D7AAFA" w:rsidR="00CD4EDF" w:rsidRPr="009715CB" w:rsidRDefault="009715CB" w:rsidP="00742ABC">
            <w:pPr>
              <w:autoSpaceDE w:val="0"/>
              <w:autoSpaceDN w:val="0"/>
              <w:adjustRightInd w:val="0"/>
              <w:spacing w:after="0"/>
              <w:jc w:val="center"/>
              <w:rPr>
                <w:rFonts w:ascii="Book Antiqua" w:hAnsi="Book Antiqua" w:cs="Century Gothic"/>
                <w:bCs/>
                <w:sz w:val="21"/>
                <w:szCs w:val="21"/>
                <w:lang w:eastAsia="en-GB"/>
              </w:rPr>
            </w:pPr>
            <w:r w:rsidRPr="009715CB">
              <w:rPr>
                <w:rFonts w:ascii="Book Antiqua" w:hAnsi="Book Antiqua" w:cs="Century Gothic"/>
                <w:bCs/>
                <w:sz w:val="21"/>
                <w:szCs w:val="21"/>
                <w:lang w:eastAsia="en-GB"/>
              </w:rPr>
              <w:t>1.0</w:t>
            </w:r>
          </w:p>
        </w:tc>
        <w:tc>
          <w:tcPr>
            <w:tcW w:w="2634" w:type="dxa"/>
            <w:shd w:val="clear" w:color="auto" w:fill="auto"/>
          </w:tcPr>
          <w:p w14:paraId="093B2708" w14:textId="4C698E93" w:rsidR="00CD4EDF" w:rsidRPr="0082559D" w:rsidRDefault="00266589" w:rsidP="007D29C5">
            <w:pPr>
              <w:autoSpaceDE w:val="0"/>
              <w:autoSpaceDN w:val="0"/>
              <w:adjustRightInd w:val="0"/>
              <w:spacing w:after="0"/>
              <w:jc w:val="center"/>
              <w:rPr>
                <w:rFonts w:ascii="Book Antiqua" w:hAnsi="Book Antiqua" w:cs="Century Gothic"/>
                <w:bCs/>
                <w:sz w:val="19"/>
                <w:szCs w:val="19"/>
                <w:lang w:eastAsia="en-GB"/>
              </w:rPr>
            </w:pPr>
            <w:r>
              <w:rPr>
                <w:rFonts w:ascii="Book Antiqua" w:hAnsi="Book Antiqua" w:cs="Century Gothic"/>
                <w:bCs/>
                <w:sz w:val="19"/>
                <w:szCs w:val="19"/>
                <w:lang w:eastAsia="en-GB"/>
              </w:rPr>
              <w:t>October</w:t>
            </w:r>
            <w:r w:rsidR="005737D6">
              <w:rPr>
                <w:rFonts w:ascii="Book Antiqua" w:hAnsi="Book Antiqua" w:cs="Century Gothic"/>
                <w:bCs/>
                <w:sz w:val="19"/>
                <w:szCs w:val="19"/>
                <w:lang w:eastAsia="en-GB"/>
              </w:rPr>
              <w:t xml:space="preserve"> 2015 Draft</w:t>
            </w:r>
          </w:p>
        </w:tc>
        <w:tc>
          <w:tcPr>
            <w:tcW w:w="2634" w:type="dxa"/>
            <w:shd w:val="clear" w:color="auto" w:fill="auto"/>
          </w:tcPr>
          <w:p w14:paraId="3D551414" w14:textId="77777777" w:rsidR="00742ABC" w:rsidRPr="00742ABC" w:rsidRDefault="00266589" w:rsidP="00266589">
            <w:pPr>
              <w:autoSpaceDE w:val="0"/>
              <w:autoSpaceDN w:val="0"/>
              <w:adjustRightInd w:val="0"/>
              <w:spacing w:after="0"/>
              <w:jc w:val="center"/>
              <w:rPr>
                <w:rFonts w:ascii="Book Antiqua" w:hAnsi="Book Antiqua" w:cs="Arial"/>
                <w:sz w:val="19"/>
                <w:szCs w:val="19"/>
                <w:lang w:eastAsia="en-GB"/>
              </w:rPr>
            </w:pPr>
            <w:r>
              <w:rPr>
                <w:rFonts w:ascii="Book Antiqua" w:hAnsi="Book Antiqua" w:cs="Arial"/>
                <w:sz w:val="19"/>
                <w:szCs w:val="19"/>
                <w:lang w:eastAsia="en-GB"/>
              </w:rPr>
              <w:t>31/07/2015</w:t>
            </w:r>
          </w:p>
        </w:tc>
      </w:tr>
      <w:tr w:rsidR="005737D6" w:rsidRPr="008C4707" w14:paraId="5B01AA07" w14:textId="77777777" w:rsidTr="00742ABC">
        <w:trPr>
          <w:trHeight w:val="201"/>
          <w:jc w:val="center"/>
        </w:trPr>
        <w:tc>
          <w:tcPr>
            <w:tcW w:w="2634" w:type="dxa"/>
            <w:shd w:val="clear" w:color="auto" w:fill="auto"/>
          </w:tcPr>
          <w:p w14:paraId="2BAF4587" w14:textId="69E4BB30" w:rsidR="005737D6" w:rsidRPr="009715CB" w:rsidRDefault="005737D6" w:rsidP="00742ABC">
            <w:pPr>
              <w:autoSpaceDE w:val="0"/>
              <w:autoSpaceDN w:val="0"/>
              <w:adjustRightInd w:val="0"/>
              <w:spacing w:after="0"/>
              <w:jc w:val="center"/>
              <w:rPr>
                <w:rFonts w:ascii="Book Antiqua" w:hAnsi="Book Antiqua" w:cs="Century Gothic"/>
                <w:bCs/>
                <w:sz w:val="21"/>
                <w:szCs w:val="21"/>
                <w:lang w:eastAsia="en-GB"/>
              </w:rPr>
            </w:pPr>
            <w:r>
              <w:rPr>
                <w:rFonts w:ascii="Book Antiqua" w:hAnsi="Book Antiqua" w:cs="Century Gothic"/>
                <w:bCs/>
                <w:sz w:val="21"/>
                <w:szCs w:val="21"/>
                <w:lang w:eastAsia="en-GB"/>
              </w:rPr>
              <w:t>1.1</w:t>
            </w:r>
          </w:p>
        </w:tc>
        <w:tc>
          <w:tcPr>
            <w:tcW w:w="2634" w:type="dxa"/>
            <w:shd w:val="clear" w:color="auto" w:fill="auto"/>
          </w:tcPr>
          <w:p w14:paraId="7E0B14F2" w14:textId="06EE08D1" w:rsidR="005737D6" w:rsidRDefault="005737D6" w:rsidP="007D29C5">
            <w:pPr>
              <w:autoSpaceDE w:val="0"/>
              <w:autoSpaceDN w:val="0"/>
              <w:adjustRightInd w:val="0"/>
              <w:spacing w:after="0"/>
              <w:jc w:val="center"/>
              <w:rPr>
                <w:rFonts w:ascii="Book Antiqua" w:hAnsi="Book Antiqua" w:cs="Century Gothic"/>
                <w:bCs/>
                <w:sz w:val="19"/>
                <w:szCs w:val="19"/>
                <w:lang w:eastAsia="en-GB"/>
              </w:rPr>
            </w:pPr>
            <w:r>
              <w:rPr>
                <w:rFonts w:ascii="Book Antiqua" w:hAnsi="Book Antiqua" w:cs="Century Gothic"/>
                <w:bCs/>
                <w:sz w:val="19"/>
                <w:szCs w:val="19"/>
                <w:lang w:eastAsia="en-GB"/>
              </w:rPr>
              <w:t>October Final</w:t>
            </w:r>
          </w:p>
        </w:tc>
        <w:tc>
          <w:tcPr>
            <w:tcW w:w="2634" w:type="dxa"/>
            <w:shd w:val="clear" w:color="auto" w:fill="auto"/>
          </w:tcPr>
          <w:p w14:paraId="0A2F7E01" w14:textId="74D4EE5F" w:rsidR="005737D6" w:rsidRDefault="005737D6" w:rsidP="00266589">
            <w:pPr>
              <w:autoSpaceDE w:val="0"/>
              <w:autoSpaceDN w:val="0"/>
              <w:adjustRightInd w:val="0"/>
              <w:spacing w:after="0"/>
              <w:jc w:val="center"/>
              <w:rPr>
                <w:rFonts w:ascii="Book Antiqua" w:hAnsi="Book Antiqua" w:cs="Arial"/>
                <w:sz w:val="19"/>
                <w:szCs w:val="19"/>
                <w:lang w:eastAsia="en-GB"/>
              </w:rPr>
            </w:pPr>
            <w:r>
              <w:rPr>
                <w:rFonts w:ascii="Book Antiqua" w:hAnsi="Book Antiqua" w:cs="Arial"/>
                <w:sz w:val="19"/>
                <w:szCs w:val="19"/>
                <w:lang w:eastAsia="en-GB"/>
              </w:rPr>
              <w:t>01/10/2015</w:t>
            </w:r>
          </w:p>
        </w:tc>
      </w:tr>
    </w:tbl>
    <w:p w14:paraId="2F7970E2" w14:textId="77777777"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14:paraId="60EC69D0" w14:textId="77777777"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14:paraId="68A436FD" w14:textId="77777777"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14:paraId="7EDE6D5C" w14:textId="77777777" w:rsidR="00CD4EDF" w:rsidRPr="00CD4EDF" w:rsidRDefault="00CD4EDF" w:rsidP="00E2481B">
      <w:pPr>
        <w:autoSpaceDE w:val="0"/>
        <w:autoSpaceDN w:val="0"/>
        <w:adjustRightInd w:val="0"/>
        <w:spacing w:after="0" w:line="240" w:lineRule="auto"/>
        <w:rPr>
          <w:rFonts w:ascii="Book Antiqua" w:hAnsi="Book Antiqua" w:cs="Helvetica-Bold"/>
          <w:bCs/>
          <w:color w:val="000000"/>
          <w:sz w:val="20"/>
          <w:szCs w:val="20"/>
        </w:rPr>
      </w:pPr>
    </w:p>
    <w:p w14:paraId="36166061" w14:textId="77777777"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14:paraId="137C29C1" w14:textId="77777777"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14:paraId="1D5A93A7" w14:textId="77777777"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14:paraId="36DF2C89" w14:textId="77777777"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14:paraId="2ABC4675" w14:textId="77777777"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14:paraId="13E7C34F" w14:textId="77777777" w:rsidR="00140A36" w:rsidRPr="00CD4EDF" w:rsidRDefault="001F064E" w:rsidP="001F064E">
      <w:pPr>
        <w:tabs>
          <w:tab w:val="left" w:pos="3390"/>
        </w:tabs>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ab/>
      </w:r>
    </w:p>
    <w:p w14:paraId="3D3C6825" w14:textId="77777777"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14:paraId="517420FE" w14:textId="77777777" w:rsidR="00140A36" w:rsidRPr="00CD4EDF" w:rsidRDefault="00140A36" w:rsidP="00140A36">
      <w:pPr>
        <w:autoSpaceDE w:val="0"/>
        <w:autoSpaceDN w:val="0"/>
        <w:adjustRightInd w:val="0"/>
        <w:spacing w:after="0" w:line="240" w:lineRule="auto"/>
        <w:rPr>
          <w:rFonts w:ascii="Book Antiqua" w:hAnsi="Book Antiqua" w:cs="Helvetica-Bold"/>
          <w:b/>
          <w:bCs/>
          <w:color w:val="000000"/>
          <w:sz w:val="32"/>
          <w:szCs w:val="32"/>
        </w:rPr>
      </w:pPr>
    </w:p>
    <w:p w14:paraId="6F228A09" w14:textId="77777777" w:rsidR="00416EC3" w:rsidRPr="00CD4EDF" w:rsidRDefault="00D750D6" w:rsidP="00D750D6">
      <w:pPr>
        <w:tabs>
          <w:tab w:val="left" w:pos="6225"/>
        </w:tabs>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ab/>
      </w:r>
    </w:p>
    <w:p w14:paraId="1B166C57"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4646FCD4"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2C5E25D6"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32DE4DE5"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155F2B27"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7F072C4A"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513B0AC4"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6118F304" w14:textId="77777777" w:rsidR="00416EC3" w:rsidRPr="00CD4EDF" w:rsidRDefault="00CE40B6" w:rsidP="00CE40B6">
      <w:pPr>
        <w:tabs>
          <w:tab w:val="left" w:pos="3045"/>
        </w:tabs>
        <w:autoSpaceDE w:val="0"/>
        <w:autoSpaceDN w:val="0"/>
        <w:adjustRightInd w:val="0"/>
        <w:spacing w:after="0" w:line="240" w:lineRule="auto"/>
        <w:rPr>
          <w:rFonts w:ascii="Book Antiqua" w:hAnsi="Book Antiqua" w:cs="Helvetica-Bold"/>
          <w:b/>
          <w:bCs/>
          <w:color w:val="000000"/>
          <w:sz w:val="32"/>
          <w:szCs w:val="32"/>
        </w:rPr>
      </w:pPr>
      <w:r>
        <w:rPr>
          <w:rFonts w:ascii="Book Antiqua" w:hAnsi="Book Antiqua" w:cs="Helvetica-Bold"/>
          <w:b/>
          <w:bCs/>
          <w:color w:val="000000"/>
          <w:sz w:val="32"/>
          <w:szCs w:val="32"/>
        </w:rPr>
        <w:tab/>
      </w:r>
    </w:p>
    <w:p w14:paraId="152FDD49"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68490485"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543F5BB3"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1DADC5C2" w14:textId="77777777" w:rsidR="00487BC2" w:rsidRPr="00CD4EDF" w:rsidRDefault="00487BC2" w:rsidP="00416EC3">
      <w:pPr>
        <w:autoSpaceDE w:val="0"/>
        <w:autoSpaceDN w:val="0"/>
        <w:adjustRightInd w:val="0"/>
        <w:spacing w:after="0" w:line="240" w:lineRule="auto"/>
        <w:rPr>
          <w:rFonts w:ascii="Book Antiqua" w:hAnsi="Book Antiqua" w:cs="Helvetica-Bold"/>
          <w:b/>
          <w:bCs/>
          <w:color w:val="000000"/>
          <w:sz w:val="32"/>
          <w:szCs w:val="32"/>
        </w:rPr>
      </w:pPr>
    </w:p>
    <w:p w14:paraId="2E887440"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43E08DBF" w14:textId="77777777" w:rsidR="00416EC3" w:rsidRPr="00CD4EDF" w:rsidRDefault="00416EC3" w:rsidP="00140A36">
      <w:pPr>
        <w:autoSpaceDE w:val="0"/>
        <w:autoSpaceDN w:val="0"/>
        <w:adjustRightInd w:val="0"/>
        <w:spacing w:after="0" w:line="240" w:lineRule="auto"/>
        <w:rPr>
          <w:rFonts w:ascii="Book Antiqua" w:hAnsi="Book Antiqua" w:cs="Helvetica-Bold"/>
          <w:b/>
          <w:bCs/>
          <w:color w:val="000000"/>
          <w:sz w:val="32"/>
          <w:szCs w:val="32"/>
        </w:rPr>
      </w:pPr>
    </w:p>
    <w:p w14:paraId="18AAB1B4" w14:textId="77777777" w:rsidR="00CD4EDF" w:rsidRPr="00CD4EDF" w:rsidRDefault="00CD4EDF" w:rsidP="00140A36">
      <w:pPr>
        <w:autoSpaceDE w:val="0"/>
        <w:autoSpaceDN w:val="0"/>
        <w:adjustRightInd w:val="0"/>
        <w:spacing w:after="0" w:line="240" w:lineRule="auto"/>
        <w:rPr>
          <w:rFonts w:ascii="Book Antiqua" w:hAnsi="Book Antiqua" w:cs="Helvetica-Bold"/>
          <w:b/>
          <w:bCs/>
          <w:color w:val="000000"/>
          <w:sz w:val="32"/>
          <w:szCs w:val="32"/>
        </w:rPr>
      </w:pPr>
    </w:p>
    <w:sdt>
      <w:sdtPr>
        <w:rPr>
          <w:rFonts w:asciiTheme="minorHAnsi" w:eastAsiaTheme="minorHAnsi" w:hAnsiTheme="minorHAnsi" w:cstheme="minorBidi"/>
          <w:color w:val="auto"/>
          <w:sz w:val="22"/>
          <w:szCs w:val="22"/>
          <w:lang w:val="en-GB"/>
        </w:rPr>
        <w:id w:val="1025992003"/>
        <w:docPartObj>
          <w:docPartGallery w:val="Table of Contents"/>
          <w:docPartUnique/>
        </w:docPartObj>
      </w:sdtPr>
      <w:sdtEndPr>
        <w:rPr>
          <w:b/>
          <w:bCs/>
          <w:noProof/>
        </w:rPr>
      </w:sdtEndPr>
      <w:sdtContent>
        <w:p w14:paraId="67700DA5" w14:textId="77777777" w:rsidR="001F0C56" w:rsidRDefault="001F0C56">
          <w:pPr>
            <w:pStyle w:val="TOCHeading"/>
          </w:pPr>
        </w:p>
        <w:p w14:paraId="50C8692D" w14:textId="77777777" w:rsidR="001F0C56" w:rsidRDefault="001F0C56">
          <w:pPr>
            <w:pStyle w:val="TOCHeading"/>
          </w:pPr>
        </w:p>
        <w:p w14:paraId="3377D551" w14:textId="77777777" w:rsidR="00A24781" w:rsidRDefault="00A24781">
          <w:pPr>
            <w:pStyle w:val="TOCHeading"/>
          </w:pPr>
          <w:r>
            <w:t>Table of Contents</w:t>
          </w:r>
        </w:p>
        <w:p w14:paraId="3212FBEE" w14:textId="77777777" w:rsidR="009715CB" w:rsidRDefault="00A24781">
          <w:pPr>
            <w:pStyle w:val="TOC1"/>
            <w:tabs>
              <w:tab w:val="left" w:pos="440"/>
              <w:tab w:val="right" w:leader="dot" w:pos="10456"/>
            </w:tabs>
            <w:rPr>
              <w:rFonts w:eastAsiaTheme="minorEastAsia"/>
              <w:noProof/>
              <w:lang w:eastAsia="en-GB"/>
            </w:rPr>
          </w:pPr>
          <w:r>
            <w:fldChar w:fldCharType="begin"/>
          </w:r>
          <w:r>
            <w:instrText xml:space="preserve"> TOC \o "1-3" \h \z \u </w:instrText>
          </w:r>
          <w:r>
            <w:fldChar w:fldCharType="separate"/>
          </w:r>
          <w:hyperlink w:anchor="_Toc426117204" w:history="1">
            <w:r w:rsidR="009715CB" w:rsidRPr="005E0DB1">
              <w:rPr>
                <w:rStyle w:val="Hyperlink"/>
                <w:noProof/>
              </w:rPr>
              <w:t>1.</w:t>
            </w:r>
            <w:r w:rsidR="009715CB">
              <w:rPr>
                <w:rFonts w:eastAsiaTheme="minorEastAsia"/>
                <w:noProof/>
                <w:lang w:eastAsia="en-GB"/>
              </w:rPr>
              <w:tab/>
            </w:r>
            <w:r w:rsidR="009715CB" w:rsidRPr="005E0DB1">
              <w:rPr>
                <w:rStyle w:val="Hyperlink"/>
                <w:noProof/>
              </w:rPr>
              <w:t>Introduction</w:t>
            </w:r>
            <w:r w:rsidR="009715CB">
              <w:rPr>
                <w:noProof/>
                <w:webHidden/>
              </w:rPr>
              <w:tab/>
            </w:r>
            <w:r w:rsidR="009715CB">
              <w:rPr>
                <w:noProof/>
                <w:webHidden/>
              </w:rPr>
              <w:fldChar w:fldCharType="begin"/>
            </w:r>
            <w:r w:rsidR="009715CB">
              <w:rPr>
                <w:noProof/>
                <w:webHidden/>
              </w:rPr>
              <w:instrText xml:space="preserve"> PAGEREF _Toc426117204 \h </w:instrText>
            </w:r>
            <w:r w:rsidR="009715CB">
              <w:rPr>
                <w:noProof/>
                <w:webHidden/>
              </w:rPr>
            </w:r>
            <w:r w:rsidR="009715CB">
              <w:rPr>
                <w:noProof/>
                <w:webHidden/>
              </w:rPr>
              <w:fldChar w:fldCharType="separate"/>
            </w:r>
            <w:r w:rsidR="001353BF">
              <w:rPr>
                <w:noProof/>
                <w:webHidden/>
              </w:rPr>
              <w:t>4</w:t>
            </w:r>
            <w:r w:rsidR="009715CB">
              <w:rPr>
                <w:noProof/>
                <w:webHidden/>
              </w:rPr>
              <w:fldChar w:fldCharType="end"/>
            </w:r>
          </w:hyperlink>
        </w:p>
        <w:p w14:paraId="1D57B134" w14:textId="77777777" w:rsidR="009715CB" w:rsidRDefault="005737D6">
          <w:pPr>
            <w:pStyle w:val="TOC1"/>
            <w:tabs>
              <w:tab w:val="left" w:pos="440"/>
              <w:tab w:val="right" w:leader="dot" w:pos="10456"/>
            </w:tabs>
            <w:rPr>
              <w:rFonts w:eastAsiaTheme="minorEastAsia"/>
              <w:noProof/>
              <w:lang w:eastAsia="en-GB"/>
            </w:rPr>
          </w:pPr>
          <w:hyperlink w:anchor="_Toc426117205" w:history="1">
            <w:r w:rsidR="009715CB" w:rsidRPr="005E0DB1">
              <w:rPr>
                <w:rStyle w:val="Hyperlink"/>
                <w:noProof/>
              </w:rPr>
              <w:t>2.</w:t>
            </w:r>
            <w:r w:rsidR="009715CB">
              <w:rPr>
                <w:rFonts w:eastAsiaTheme="minorEastAsia"/>
                <w:noProof/>
                <w:lang w:eastAsia="en-GB"/>
              </w:rPr>
              <w:tab/>
            </w:r>
            <w:r w:rsidR="009715CB" w:rsidRPr="005E0DB1">
              <w:rPr>
                <w:rStyle w:val="Hyperlink"/>
                <w:noProof/>
              </w:rPr>
              <w:t>Application and Determination of Charges</w:t>
            </w:r>
            <w:r w:rsidR="009715CB">
              <w:rPr>
                <w:noProof/>
                <w:webHidden/>
              </w:rPr>
              <w:tab/>
            </w:r>
            <w:r w:rsidR="009715CB">
              <w:rPr>
                <w:noProof/>
                <w:webHidden/>
              </w:rPr>
              <w:fldChar w:fldCharType="begin"/>
            </w:r>
            <w:r w:rsidR="009715CB">
              <w:rPr>
                <w:noProof/>
                <w:webHidden/>
              </w:rPr>
              <w:instrText xml:space="preserve"> PAGEREF _Toc426117205 \h </w:instrText>
            </w:r>
            <w:r w:rsidR="009715CB">
              <w:rPr>
                <w:noProof/>
                <w:webHidden/>
              </w:rPr>
            </w:r>
            <w:r w:rsidR="009715CB">
              <w:rPr>
                <w:noProof/>
                <w:webHidden/>
              </w:rPr>
              <w:fldChar w:fldCharType="separate"/>
            </w:r>
            <w:r w:rsidR="001353BF">
              <w:rPr>
                <w:noProof/>
                <w:webHidden/>
              </w:rPr>
              <w:t>7</w:t>
            </w:r>
            <w:r w:rsidR="009715CB">
              <w:rPr>
                <w:noProof/>
                <w:webHidden/>
              </w:rPr>
              <w:fldChar w:fldCharType="end"/>
            </w:r>
          </w:hyperlink>
        </w:p>
        <w:p w14:paraId="4835E644" w14:textId="77777777" w:rsidR="009715CB" w:rsidRDefault="005737D6">
          <w:pPr>
            <w:pStyle w:val="TOC1"/>
            <w:tabs>
              <w:tab w:val="left" w:pos="440"/>
              <w:tab w:val="right" w:leader="dot" w:pos="10456"/>
            </w:tabs>
            <w:rPr>
              <w:rFonts w:eastAsiaTheme="minorEastAsia"/>
              <w:noProof/>
              <w:lang w:eastAsia="en-GB"/>
            </w:rPr>
          </w:pPr>
          <w:hyperlink w:anchor="_Toc426117206" w:history="1">
            <w:r w:rsidR="009715CB" w:rsidRPr="005E0DB1">
              <w:rPr>
                <w:rStyle w:val="Hyperlink"/>
                <w:noProof/>
              </w:rPr>
              <w:t>3.</w:t>
            </w:r>
            <w:r w:rsidR="009715CB">
              <w:rPr>
                <w:rFonts w:eastAsiaTheme="minorEastAsia"/>
                <w:noProof/>
                <w:lang w:eastAsia="en-GB"/>
              </w:rPr>
              <w:tab/>
            </w:r>
            <w:r w:rsidR="009715CB" w:rsidRPr="005E0DB1">
              <w:rPr>
                <w:rStyle w:val="Hyperlink"/>
                <w:noProof/>
              </w:rPr>
              <w:t>Schedule of Charges for Use of the Distribution System</w:t>
            </w:r>
            <w:r w:rsidR="009715CB">
              <w:rPr>
                <w:noProof/>
                <w:webHidden/>
              </w:rPr>
              <w:tab/>
            </w:r>
            <w:r w:rsidR="009715CB">
              <w:rPr>
                <w:noProof/>
                <w:webHidden/>
              </w:rPr>
              <w:fldChar w:fldCharType="begin"/>
            </w:r>
            <w:r w:rsidR="009715CB">
              <w:rPr>
                <w:noProof/>
                <w:webHidden/>
              </w:rPr>
              <w:instrText xml:space="preserve"> PAGEREF _Toc426117206 \h </w:instrText>
            </w:r>
            <w:r w:rsidR="009715CB">
              <w:rPr>
                <w:noProof/>
                <w:webHidden/>
              </w:rPr>
            </w:r>
            <w:r w:rsidR="009715CB">
              <w:rPr>
                <w:noProof/>
                <w:webHidden/>
              </w:rPr>
              <w:fldChar w:fldCharType="separate"/>
            </w:r>
            <w:r w:rsidR="001353BF">
              <w:rPr>
                <w:noProof/>
                <w:webHidden/>
              </w:rPr>
              <w:t>19</w:t>
            </w:r>
            <w:r w:rsidR="009715CB">
              <w:rPr>
                <w:noProof/>
                <w:webHidden/>
              </w:rPr>
              <w:fldChar w:fldCharType="end"/>
            </w:r>
          </w:hyperlink>
        </w:p>
        <w:p w14:paraId="56CF9864" w14:textId="77777777" w:rsidR="009715CB" w:rsidRDefault="005737D6">
          <w:pPr>
            <w:pStyle w:val="TOC1"/>
            <w:tabs>
              <w:tab w:val="left" w:pos="440"/>
              <w:tab w:val="right" w:leader="dot" w:pos="10456"/>
            </w:tabs>
            <w:rPr>
              <w:rFonts w:eastAsiaTheme="minorEastAsia"/>
              <w:noProof/>
              <w:lang w:eastAsia="en-GB"/>
            </w:rPr>
          </w:pPr>
          <w:hyperlink w:anchor="_Toc426117207" w:history="1">
            <w:r w:rsidR="009715CB" w:rsidRPr="005E0DB1">
              <w:rPr>
                <w:rStyle w:val="Hyperlink"/>
                <w:noProof/>
              </w:rPr>
              <w:t>4.</w:t>
            </w:r>
            <w:r w:rsidR="009715CB">
              <w:rPr>
                <w:rFonts w:eastAsiaTheme="minorEastAsia"/>
                <w:noProof/>
                <w:lang w:eastAsia="en-GB"/>
              </w:rPr>
              <w:tab/>
            </w:r>
            <w:r w:rsidR="009715CB" w:rsidRPr="005E0DB1">
              <w:rPr>
                <w:rStyle w:val="Hyperlink"/>
                <w:noProof/>
              </w:rPr>
              <w:t>Schedule of Line Loss Factors</w:t>
            </w:r>
            <w:r w:rsidR="009715CB">
              <w:rPr>
                <w:noProof/>
                <w:webHidden/>
              </w:rPr>
              <w:tab/>
            </w:r>
            <w:r w:rsidR="009715CB">
              <w:rPr>
                <w:noProof/>
                <w:webHidden/>
              </w:rPr>
              <w:fldChar w:fldCharType="begin"/>
            </w:r>
            <w:r w:rsidR="009715CB">
              <w:rPr>
                <w:noProof/>
                <w:webHidden/>
              </w:rPr>
              <w:instrText xml:space="preserve"> PAGEREF _Toc426117207 \h </w:instrText>
            </w:r>
            <w:r w:rsidR="009715CB">
              <w:rPr>
                <w:noProof/>
                <w:webHidden/>
              </w:rPr>
            </w:r>
            <w:r w:rsidR="009715CB">
              <w:rPr>
                <w:noProof/>
                <w:webHidden/>
              </w:rPr>
              <w:fldChar w:fldCharType="separate"/>
            </w:r>
            <w:r w:rsidR="001353BF">
              <w:rPr>
                <w:noProof/>
                <w:webHidden/>
              </w:rPr>
              <w:t>20</w:t>
            </w:r>
            <w:r w:rsidR="009715CB">
              <w:rPr>
                <w:noProof/>
                <w:webHidden/>
              </w:rPr>
              <w:fldChar w:fldCharType="end"/>
            </w:r>
          </w:hyperlink>
        </w:p>
        <w:p w14:paraId="75161E6C" w14:textId="77777777" w:rsidR="009715CB" w:rsidRDefault="005737D6">
          <w:pPr>
            <w:pStyle w:val="TOC1"/>
            <w:tabs>
              <w:tab w:val="left" w:pos="440"/>
              <w:tab w:val="right" w:leader="dot" w:pos="10456"/>
            </w:tabs>
            <w:rPr>
              <w:rFonts w:eastAsiaTheme="minorEastAsia"/>
              <w:noProof/>
              <w:lang w:eastAsia="en-GB"/>
            </w:rPr>
          </w:pPr>
          <w:hyperlink w:anchor="_Toc426117208" w:history="1">
            <w:r w:rsidR="009715CB" w:rsidRPr="005E0DB1">
              <w:rPr>
                <w:rStyle w:val="Hyperlink"/>
                <w:noProof/>
              </w:rPr>
              <w:t>5.</w:t>
            </w:r>
            <w:r w:rsidR="009715CB">
              <w:rPr>
                <w:rFonts w:eastAsiaTheme="minorEastAsia"/>
                <w:noProof/>
                <w:lang w:eastAsia="en-GB"/>
              </w:rPr>
              <w:tab/>
            </w:r>
            <w:r w:rsidR="009715CB" w:rsidRPr="005E0DB1">
              <w:rPr>
                <w:rStyle w:val="Hyperlink"/>
                <w:noProof/>
              </w:rPr>
              <w:t>Notes for Designated EHV Properties</w:t>
            </w:r>
            <w:r w:rsidR="009715CB">
              <w:rPr>
                <w:noProof/>
                <w:webHidden/>
              </w:rPr>
              <w:tab/>
            </w:r>
            <w:r w:rsidR="009715CB">
              <w:rPr>
                <w:noProof/>
                <w:webHidden/>
              </w:rPr>
              <w:fldChar w:fldCharType="begin"/>
            </w:r>
            <w:r w:rsidR="009715CB">
              <w:rPr>
                <w:noProof/>
                <w:webHidden/>
              </w:rPr>
              <w:instrText xml:space="preserve"> PAGEREF _Toc426117208 \h </w:instrText>
            </w:r>
            <w:r w:rsidR="009715CB">
              <w:rPr>
                <w:noProof/>
                <w:webHidden/>
              </w:rPr>
            </w:r>
            <w:r w:rsidR="009715CB">
              <w:rPr>
                <w:noProof/>
                <w:webHidden/>
              </w:rPr>
              <w:fldChar w:fldCharType="separate"/>
            </w:r>
            <w:r w:rsidR="001353BF">
              <w:rPr>
                <w:noProof/>
                <w:webHidden/>
              </w:rPr>
              <w:t>21</w:t>
            </w:r>
            <w:r w:rsidR="009715CB">
              <w:rPr>
                <w:noProof/>
                <w:webHidden/>
              </w:rPr>
              <w:fldChar w:fldCharType="end"/>
            </w:r>
          </w:hyperlink>
        </w:p>
        <w:p w14:paraId="6C9A1D3A" w14:textId="77777777" w:rsidR="009715CB" w:rsidRDefault="005737D6">
          <w:pPr>
            <w:pStyle w:val="TOC1"/>
            <w:tabs>
              <w:tab w:val="left" w:pos="440"/>
              <w:tab w:val="right" w:leader="dot" w:pos="10456"/>
            </w:tabs>
            <w:rPr>
              <w:rFonts w:eastAsiaTheme="minorEastAsia"/>
              <w:noProof/>
              <w:lang w:eastAsia="en-GB"/>
            </w:rPr>
          </w:pPr>
          <w:hyperlink w:anchor="_Toc426117209" w:history="1">
            <w:r w:rsidR="009715CB" w:rsidRPr="005E0DB1">
              <w:rPr>
                <w:rStyle w:val="Hyperlink"/>
                <w:noProof/>
              </w:rPr>
              <w:t>6.</w:t>
            </w:r>
            <w:r w:rsidR="009715CB">
              <w:rPr>
                <w:rFonts w:eastAsiaTheme="minorEastAsia"/>
                <w:noProof/>
                <w:lang w:eastAsia="en-GB"/>
              </w:rPr>
              <w:tab/>
            </w:r>
            <w:r w:rsidR="009715CB" w:rsidRPr="005E0DB1">
              <w:rPr>
                <w:rStyle w:val="Hyperlink"/>
                <w:noProof/>
              </w:rPr>
              <w:t>Electricity Distribution Rebates</w:t>
            </w:r>
            <w:r w:rsidR="009715CB">
              <w:rPr>
                <w:noProof/>
                <w:webHidden/>
              </w:rPr>
              <w:tab/>
            </w:r>
            <w:r w:rsidR="009715CB">
              <w:rPr>
                <w:noProof/>
                <w:webHidden/>
              </w:rPr>
              <w:fldChar w:fldCharType="begin"/>
            </w:r>
            <w:r w:rsidR="009715CB">
              <w:rPr>
                <w:noProof/>
                <w:webHidden/>
              </w:rPr>
              <w:instrText xml:space="preserve"> PAGEREF _Toc426117209 \h </w:instrText>
            </w:r>
            <w:r w:rsidR="009715CB">
              <w:rPr>
                <w:noProof/>
                <w:webHidden/>
              </w:rPr>
            </w:r>
            <w:r w:rsidR="009715CB">
              <w:rPr>
                <w:noProof/>
                <w:webHidden/>
              </w:rPr>
              <w:fldChar w:fldCharType="separate"/>
            </w:r>
            <w:r w:rsidR="001353BF">
              <w:rPr>
                <w:noProof/>
                <w:webHidden/>
              </w:rPr>
              <w:t>23</w:t>
            </w:r>
            <w:r w:rsidR="009715CB">
              <w:rPr>
                <w:noProof/>
                <w:webHidden/>
              </w:rPr>
              <w:fldChar w:fldCharType="end"/>
            </w:r>
          </w:hyperlink>
        </w:p>
        <w:p w14:paraId="6F602DFB" w14:textId="77777777" w:rsidR="009715CB" w:rsidRDefault="005737D6">
          <w:pPr>
            <w:pStyle w:val="TOC1"/>
            <w:tabs>
              <w:tab w:val="left" w:pos="440"/>
              <w:tab w:val="right" w:leader="dot" w:pos="10456"/>
            </w:tabs>
            <w:rPr>
              <w:rFonts w:eastAsiaTheme="minorEastAsia"/>
              <w:noProof/>
              <w:lang w:eastAsia="en-GB"/>
            </w:rPr>
          </w:pPr>
          <w:hyperlink w:anchor="_Toc426117210" w:history="1">
            <w:r w:rsidR="009715CB" w:rsidRPr="005E0DB1">
              <w:rPr>
                <w:rStyle w:val="Hyperlink"/>
                <w:noProof/>
              </w:rPr>
              <w:t>7.</w:t>
            </w:r>
            <w:r w:rsidR="009715CB">
              <w:rPr>
                <w:rFonts w:eastAsiaTheme="minorEastAsia"/>
                <w:noProof/>
                <w:lang w:eastAsia="en-GB"/>
              </w:rPr>
              <w:tab/>
            </w:r>
            <w:r w:rsidR="009715CB" w:rsidRPr="005E0DB1">
              <w:rPr>
                <w:rStyle w:val="Hyperlink"/>
                <w:noProof/>
              </w:rPr>
              <w:t>Accounting and Administration Services</w:t>
            </w:r>
            <w:r w:rsidR="009715CB">
              <w:rPr>
                <w:noProof/>
                <w:webHidden/>
              </w:rPr>
              <w:tab/>
            </w:r>
            <w:r w:rsidR="009715CB">
              <w:rPr>
                <w:noProof/>
                <w:webHidden/>
              </w:rPr>
              <w:fldChar w:fldCharType="begin"/>
            </w:r>
            <w:r w:rsidR="009715CB">
              <w:rPr>
                <w:noProof/>
                <w:webHidden/>
              </w:rPr>
              <w:instrText xml:space="preserve"> PAGEREF _Toc426117210 \h </w:instrText>
            </w:r>
            <w:r w:rsidR="009715CB">
              <w:rPr>
                <w:noProof/>
                <w:webHidden/>
              </w:rPr>
            </w:r>
            <w:r w:rsidR="009715CB">
              <w:rPr>
                <w:noProof/>
                <w:webHidden/>
              </w:rPr>
              <w:fldChar w:fldCharType="separate"/>
            </w:r>
            <w:r w:rsidR="001353BF">
              <w:rPr>
                <w:noProof/>
                <w:webHidden/>
              </w:rPr>
              <w:t>23</w:t>
            </w:r>
            <w:r w:rsidR="009715CB">
              <w:rPr>
                <w:noProof/>
                <w:webHidden/>
              </w:rPr>
              <w:fldChar w:fldCharType="end"/>
            </w:r>
          </w:hyperlink>
        </w:p>
        <w:p w14:paraId="57D0F663" w14:textId="77777777" w:rsidR="009715CB" w:rsidRDefault="005737D6">
          <w:pPr>
            <w:pStyle w:val="TOC1"/>
            <w:tabs>
              <w:tab w:val="left" w:pos="440"/>
              <w:tab w:val="right" w:leader="dot" w:pos="10456"/>
            </w:tabs>
            <w:rPr>
              <w:rFonts w:eastAsiaTheme="minorEastAsia"/>
              <w:noProof/>
              <w:lang w:eastAsia="en-GB"/>
            </w:rPr>
          </w:pPr>
          <w:hyperlink w:anchor="_Toc426117211" w:history="1">
            <w:r w:rsidR="009715CB" w:rsidRPr="005E0DB1">
              <w:rPr>
                <w:rStyle w:val="Hyperlink"/>
                <w:noProof/>
              </w:rPr>
              <w:t>8.</w:t>
            </w:r>
            <w:r w:rsidR="009715CB">
              <w:rPr>
                <w:rFonts w:eastAsiaTheme="minorEastAsia"/>
                <w:noProof/>
                <w:lang w:eastAsia="en-GB"/>
              </w:rPr>
              <w:tab/>
            </w:r>
            <w:r w:rsidR="009715CB" w:rsidRPr="005E0DB1">
              <w:rPr>
                <w:rStyle w:val="Hyperlink"/>
                <w:noProof/>
              </w:rPr>
              <w:t>Charges for Electrical Plant Provided Ancillary to the Grant of Use of System</w:t>
            </w:r>
            <w:r w:rsidR="009715CB">
              <w:rPr>
                <w:noProof/>
                <w:webHidden/>
              </w:rPr>
              <w:tab/>
            </w:r>
            <w:r w:rsidR="009715CB">
              <w:rPr>
                <w:noProof/>
                <w:webHidden/>
              </w:rPr>
              <w:fldChar w:fldCharType="begin"/>
            </w:r>
            <w:r w:rsidR="009715CB">
              <w:rPr>
                <w:noProof/>
                <w:webHidden/>
              </w:rPr>
              <w:instrText xml:space="preserve"> PAGEREF _Toc426117211 \h </w:instrText>
            </w:r>
            <w:r w:rsidR="009715CB">
              <w:rPr>
                <w:noProof/>
                <w:webHidden/>
              </w:rPr>
            </w:r>
            <w:r w:rsidR="009715CB">
              <w:rPr>
                <w:noProof/>
                <w:webHidden/>
              </w:rPr>
              <w:fldChar w:fldCharType="separate"/>
            </w:r>
            <w:r w:rsidR="001353BF">
              <w:rPr>
                <w:noProof/>
                <w:webHidden/>
              </w:rPr>
              <w:t>23</w:t>
            </w:r>
            <w:r w:rsidR="009715CB">
              <w:rPr>
                <w:noProof/>
                <w:webHidden/>
              </w:rPr>
              <w:fldChar w:fldCharType="end"/>
            </w:r>
          </w:hyperlink>
        </w:p>
        <w:p w14:paraId="068905B7" w14:textId="77777777" w:rsidR="009715CB" w:rsidRDefault="005737D6">
          <w:pPr>
            <w:pStyle w:val="TOC1"/>
            <w:tabs>
              <w:tab w:val="right" w:leader="dot" w:pos="10456"/>
            </w:tabs>
            <w:rPr>
              <w:rFonts w:eastAsiaTheme="minorEastAsia"/>
              <w:noProof/>
              <w:lang w:eastAsia="en-GB"/>
            </w:rPr>
          </w:pPr>
          <w:hyperlink w:anchor="_Toc426117212" w:history="1">
            <w:r w:rsidR="009715CB" w:rsidRPr="005E0DB1">
              <w:rPr>
                <w:rStyle w:val="Hyperlink"/>
                <w:noProof/>
              </w:rPr>
              <w:t>Appendix 1 – Glossary</w:t>
            </w:r>
            <w:r w:rsidR="009715CB">
              <w:rPr>
                <w:noProof/>
                <w:webHidden/>
              </w:rPr>
              <w:tab/>
            </w:r>
            <w:r w:rsidR="009715CB">
              <w:rPr>
                <w:noProof/>
                <w:webHidden/>
              </w:rPr>
              <w:fldChar w:fldCharType="begin"/>
            </w:r>
            <w:r w:rsidR="009715CB">
              <w:rPr>
                <w:noProof/>
                <w:webHidden/>
              </w:rPr>
              <w:instrText xml:space="preserve"> PAGEREF _Toc426117212 \h </w:instrText>
            </w:r>
            <w:r w:rsidR="009715CB">
              <w:rPr>
                <w:noProof/>
                <w:webHidden/>
              </w:rPr>
            </w:r>
            <w:r w:rsidR="009715CB">
              <w:rPr>
                <w:noProof/>
                <w:webHidden/>
              </w:rPr>
              <w:fldChar w:fldCharType="separate"/>
            </w:r>
            <w:r w:rsidR="001353BF">
              <w:rPr>
                <w:noProof/>
                <w:webHidden/>
              </w:rPr>
              <w:t>24</w:t>
            </w:r>
            <w:r w:rsidR="009715CB">
              <w:rPr>
                <w:noProof/>
                <w:webHidden/>
              </w:rPr>
              <w:fldChar w:fldCharType="end"/>
            </w:r>
          </w:hyperlink>
        </w:p>
        <w:p w14:paraId="51ACF779" w14:textId="77777777" w:rsidR="009715CB" w:rsidRDefault="005737D6">
          <w:pPr>
            <w:pStyle w:val="TOC1"/>
            <w:tabs>
              <w:tab w:val="right" w:leader="dot" w:pos="10456"/>
            </w:tabs>
            <w:rPr>
              <w:rFonts w:eastAsiaTheme="minorEastAsia"/>
              <w:noProof/>
              <w:lang w:eastAsia="en-GB"/>
            </w:rPr>
          </w:pPr>
          <w:hyperlink w:anchor="_Toc426117213" w:history="1">
            <w:r w:rsidR="009715CB" w:rsidRPr="005E0DB1">
              <w:rPr>
                <w:rStyle w:val="Hyperlink"/>
                <w:noProof/>
              </w:rPr>
              <w:t>Appendix 2 - Guidance notes</w:t>
            </w:r>
            <w:r w:rsidR="009715CB">
              <w:rPr>
                <w:noProof/>
                <w:webHidden/>
              </w:rPr>
              <w:tab/>
            </w:r>
            <w:r w:rsidR="009715CB">
              <w:rPr>
                <w:noProof/>
                <w:webHidden/>
              </w:rPr>
              <w:fldChar w:fldCharType="begin"/>
            </w:r>
            <w:r w:rsidR="009715CB">
              <w:rPr>
                <w:noProof/>
                <w:webHidden/>
              </w:rPr>
              <w:instrText xml:space="preserve"> PAGEREF _Toc426117213 \h </w:instrText>
            </w:r>
            <w:r w:rsidR="009715CB">
              <w:rPr>
                <w:noProof/>
                <w:webHidden/>
              </w:rPr>
            </w:r>
            <w:r w:rsidR="009715CB">
              <w:rPr>
                <w:noProof/>
                <w:webHidden/>
              </w:rPr>
              <w:fldChar w:fldCharType="separate"/>
            </w:r>
            <w:r w:rsidR="001353BF">
              <w:rPr>
                <w:noProof/>
                <w:webHidden/>
              </w:rPr>
              <w:t>31</w:t>
            </w:r>
            <w:r w:rsidR="009715CB">
              <w:rPr>
                <w:noProof/>
                <w:webHidden/>
              </w:rPr>
              <w:fldChar w:fldCharType="end"/>
            </w:r>
          </w:hyperlink>
        </w:p>
        <w:p w14:paraId="6730DD4B" w14:textId="77777777" w:rsidR="00A24781" w:rsidRDefault="00A24781" w:rsidP="00A24781">
          <w:pPr>
            <w:outlineLvl w:val="0"/>
          </w:pPr>
          <w:r>
            <w:rPr>
              <w:b/>
              <w:bCs/>
              <w:noProof/>
            </w:rPr>
            <w:fldChar w:fldCharType="end"/>
          </w:r>
        </w:p>
      </w:sdtContent>
    </w:sdt>
    <w:p w14:paraId="58A67211" w14:textId="77777777" w:rsidR="00E811B3" w:rsidRDefault="00E811B3" w:rsidP="00140A36">
      <w:pPr>
        <w:autoSpaceDE w:val="0"/>
        <w:autoSpaceDN w:val="0"/>
        <w:adjustRightInd w:val="0"/>
        <w:spacing w:after="0" w:line="240" w:lineRule="auto"/>
        <w:rPr>
          <w:rFonts w:ascii="Book Antiqua" w:hAnsi="Book Antiqua" w:cs="Helvetica-Bold"/>
          <w:b/>
          <w:bCs/>
          <w:color w:val="000000"/>
          <w:sz w:val="32"/>
          <w:szCs w:val="32"/>
        </w:rPr>
      </w:pPr>
    </w:p>
    <w:p w14:paraId="0472DEA1"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45D381E8"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5E2B7CB1"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455B8338"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62C5CAEA"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59066F76"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66EEF6C1"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787D31BC"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75EA0183"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2D49077C"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65B0F47D"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50A05473"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31D48EFA"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427DE66F"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72FE1374"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183D2EE5"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7E3CD470"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7EAED74D" w14:textId="77777777" w:rsidR="00443EAF" w:rsidRDefault="00443EAF" w:rsidP="00140A36">
      <w:pPr>
        <w:autoSpaceDE w:val="0"/>
        <w:autoSpaceDN w:val="0"/>
        <w:adjustRightInd w:val="0"/>
        <w:spacing w:after="0" w:line="240" w:lineRule="auto"/>
        <w:rPr>
          <w:rFonts w:ascii="Book Antiqua" w:hAnsi="Book Antiqua" w:cs="Helvetica-Bold"/>
          <w:b/>
          <w:bCs/>
          <w:color w:val="000000"/>
          <w:sz w:val="32"/>
          <w:szCs w:val="32"/>
        </w:rPr>
      </w:pPr>
    </w:p>
    <w:p w14:paraId="1486A6AD" w14:textId="77777777" w:rsidR="00E811B3" w:rsidRDefault="00CD4EDF" w:rsidP="00703854">
      <w:pPr>
        <w:pStyle w:val="Heading1"/>
        <w:rPr>
          <w:u w:val="single"/>
        </w:rPr>
      </w:pPr>
      <w:bookmarkStart w:id="1" w:name="_Toc426117204"/>
      <w:r>
        <w:lastRenderedPageBreak/>
        <w:t>1.</w:t>
      </w:r>
      <w:r>
        <w:tab/>
      </w:r>
      <w:r w:rsidR="00140A36" w:rsidRPr="00443EAF">
        <w:rPr>
          <w:u w:val="single"/>
        </w:rPr>
        <w:t>Introduction</w:t>
      </w:r>
      <w:bookmarkEnd w:id="1"/>
    </w:p>
    <w:p w14:paraId="0CB4FE83" w14:textId="77777777" w:rsidR="00CD6D42" w:rsidRPr="00CD6D42" w:rsidRDefault="00CD6D42" w:rsidP="00CD6D42">
      <w:pPr>
        <w:autoSpaceDE w:val="0"/>
        <w:autoSpaceDN w:val="0"/>
        <w:adjustRightInd w:val="0"/>
        <w:spacing w:after="0" w:line="240" w:lineRule="auto"/>
        <w:rPr>
          <w:rFonts w:ascii="Tahoma" w:hAnsi="Tahoma" w:cs="Tahoma"/>
          <w:color w:val="000000"/>
          <w:sz w:val="24"/>
          <w:szCs w:val="24"/>
        </w:rPr>
      </w:pPr>
    </w:p>
    <w:p w14:paraId="16949BE5" w14:textId="444A0112" w:rsidR="00D02BD7" w:rsidRPr="006E59DC" w:rsidRDefault="00D02BD7" w:rsidP="00D02BD7">
      <w:pPr>
        <w:autoSpaceDE w:val="0"/>
        <w:autoSpaceDN w:val="0"/>
        <w:adjustRightInd w:val="0"/>
        <w:spacing w:after="273" w:line="240" w:lineRule="auto"/>
      </w:pPr>
      <w:r>
        <w:t xml:space="preserve">1.1. </w:t>
      </w:r>
      <w:r w:rsidRPr="00D02BD7">
        <w:t xml:space="preserve">This document </w:t>
      </w:r>
      <w:r w:rsidR="002A26E4">
        <w:t>comprises a statement of use of system</w:t>
      </w:r>
      <w:r w:rsidR="002A26E4" w:rsidRPr="00D02BD7">
        <w:t xml:space="preserve"> charging methodology </w:t>
      </w:r>
      <w:r w:rsidR="002A26E4">
        <w:t xml:space="preserve">and </w:t>
      </w:r>
      <w:r w:rsidR="002A26E4" w:rsidRPr="00D02BD7">
        <w:t>a statement</w:t>
      </w:r>
      <w:r w:rsidR="002A26E4">
        <w:t xml:space="preserve"> of use of system charges for </w:t>
      </w:r>
      <w:r w:rsidRPr="006E59DC">
        <w:t>Harlaxton Energy Networks Limited (hereinafter “we”)</w:t>
      </w:r>
      <w:r>
        <w:t>.</w:t>
      </w:r>
      <w:r w:rsidR="002A26E4">
        <w:t xml:space="preserve"> The statement of use of system</w:t>
      </w:r>
      <w:r w:rsidR="002A26E4" w:rsidRPr="00D02BD7">
        <w:t xml:space="preserve"> charging methodology </w:t>
      </w:r>
      <w:r w:rsidR="002A26E4">
        <w:t xml:space="preserve">and the form of the </w:t>
      </w:r>
      <w:r w:rsidR="002A26E4" w:rsidRPr="00D02BD7">
        <w:t>statement</w:t>
      </w:r>
      <w:r w:rsidR="002A26E4">
        <w:t xml:space="preserve"> of use of system charges are </w:t>
      </w:r>
      <w:r>
        <w:t xml:space="preserve">subject to approval </w:t>
      </w:r>
      <w:r w:rsidRPr="00D02BD7">
        <w:t xml:space="preserve">by the Gas and </w:t>
      </w:r>
      <w:r>
        <w:t>Electricity Markets Authority (Ofgem).</w:t>
      </w:r>
    </w:p>
    <w:p w14:paraId="5E2D4B6C" w14:textId="4F1DBD49" w:rsidR="006E59DC" w:rsidRPr="00D02BD7" w:rsidRDefault="00D02BD7" w:rsidP="00D02BD7">
      <w:pPr>
        <w:autoSpaceDE w:val="0"/>
        <w:autoSpaceDN w:val="0"/>
        <w:adjustRightInd w:val="0"/>
        <w:spacing w:after="273" w:line="240" w:lineRule="auto"/>
      </w:pPr>
      <w:r>
        <w:rPr>
          <w:rFonts w:cs="Tahoma"/>
          <w:color w:val="000000"/>
        </w:rPr>
        <w:t xml:space="preserve">1.2. </w:t>
      </w:r>
      <w:r w:rsidR="006E59DC" w:rsidRPr="00D02BD7">
        <w:rPr>
          <w:rFonts w:cs="Tahoma"/>
          <w:color w:val="000000"/>
        </w:rPr>
        <w:t xml:space="preserve">The </w:t>
      </w:r>
      <w:r w:rsidR="002A26E4" w:rsidRPr="00D02BD7">
        <w:rPr>
          <w:rFonts w:cs="Tahoma"/>
          <w:color w:val="000000"/>
        </w:rPr>
        <w:t xml:space="preserve">statement of use of system charging methodology </w:t>
      </w:r>
      <w:r w:rsidRPr="00D02BD7">
        <w:rPr>
          <w:rFonts w:cs="Tahoma"/>
          <w:color w:val="000000"/>
        </w:rPr>
        <w:t>specifies</w:t>
      </w:r>
      <w:r w:rsidR="006E59DC" w:rsidRPr="00D02BD7">
        <w:rPr>
          <w:rFonts w:cs="Tahoma"/>
          <w:color w:val="000000"/>
        </w:rPr>
        <w:t xml:space="preserve"> the methods that we use in order to determine the </w:t>
      </w:r>
      <w:r w:rsidR="006E59DC" w:rsidRPr="00D02BD7">
        <w:t>charges included in its statement of distribution use of system charges.</w:t>
      </w:r>
      <w:r w:rsidRPr="00D02BD7">
        <w:t xml:space="preserve"> It has been prepared pursuant to Standard Licence Condition 13 of our Electricity Distribution Licence.</w:t>
      </w:r>
    </w:p>
    <w:p w14:paraId="0AB36706" w14:textId="01EE10E4" w:rsidR="006E59DC" w:rsidRPr="006E59DC" w:rsidRDefault="00D02BD7" w:rsidP="00D02BD7">
      <w:pPr>
        <w:autoSpaceDE w:val="0"/>
        <w:autoSpaceDN w:val="0"/>
        <w:adjustRightInd w:val="0"/>
        <w:spacing w:after="273" w:line="240" w:lineRule="auto"/>
        <w:rPr>
          <w:rFonts w:cs="Tahoma"/>
          <w:color w:val="000000"/>
        </w:rPr>
      </w:pPr>
      <w:r>
        <w:t xml:space="preserve">1.3. </w:t>
      </w:r>
      <w:r w:rsidRPr="00D02BD7">
        <w:t>The</w:t>
      </w:r>
      <w:r w:rsidR="00CD6D42" w:rsidRPr="00D02BD7">
        <w:t xml:space="preserve"> </w:t>
      </w:r>
      <w:r w:rsidR="002A26E4" w:rsidRPr="00D02BD7">
        <w:t>statement</w:t>
      </w:r>
      <w:r w:rsidR="002A26E4">
        <w:t xml:space="preserve"> of use of system charges </w:t>
      </w:r>
      <w:r w:rsidR="00CD6D42" w:rsidRPr="00D02BD7">
        <w:t xml:space="preserve">tells you about our charges and the reasons behind them. It has been prepared </w:t>
      </w:r>
      <w:r>
        <w:t xml:space="preserve">pursuant to </w:t>
      </w:r>
      <w:r w:rsidR="00CD6D42" w:rsidRPr="00D02BD7">
        <w:t>Standard Licence Condition 14 of our Electricity Distribution Licence. The main purpose of this statement is to provide our schedule of charges</w:t>
      </w:r>
      <w:r w:rsidR="001219BA" w:rsidRPr="002A26E4">
        <w:rPr>
          <w:rStyle w:val="FootnoteReference"/>
        </w:rPr>
        <w:footnoteReference w:id="1"/>
      </w:r>
      <w:r w:rsidR="00CD6D42" w:rsidRPr="00D02BD7">
        <w:t xml:space="preserve"> for the use of our Distribution System and to provide the schedule of adjustment factors</w:t>
      </w:r>
      <w:r w:rsidR="008930F1" w:rsidRPr="002A26E4">
        <w:rPr>
          <w:rStyle w:val="FootnoteReference"/>
        </w:rPr>
        <w:footnoteReference w:id="2"/>
      </w:r>
      <w:r w:rsidR="00CD6D42" w:rsidRPr="00D02BD7">
        <w:t xml:space="preserve"> that should be applied in Settlement to account for losses from the Distribution System. We</w:t>
      </w:r>
      <w:r w:rsidR="00CD6D42" w:rsidRPr="006E59DC">
        <w:rPr>
          <w:rFonts w:cs="Tahoma"/>
          <w:color w:val="000000"/>
        </w:rPr>
        <w:t xml:space="preserve"> have also included guidance notes in Appendix 2 to help improve your understanding of the charges we apply. </w:t>
      </w:r>
    </w:p>
    <w:p w14:paraId="1F83FD2A" w14:textId="77777777" w:rsidR="00CD6D42" w:rsidRPr="00CD6D42" w:rsidRDefault="008818C1" w:rsidP="00CD6D42">
      <w:pPr>
        <w:autoSpaceDE w:val="0"/>
        <w:autoSpaceDN w:val="0"/>
        <w:adjustRightInd w:val="0"/>
        <w:spacing w:after="273" w:line="240" w:lineRule="auto"/>
        <w:rPr>
          <w:rFonts w:cs="Tahoma"/>
          <w:color w:val="000000"/>
        </w:rPr>
      </w:pPr>
      <w:r>
        <w:rPr>
          <w:rFonts w:cs="Tahoma"/>
          <w:color w:val="000000"/>
        </w:rPr>
        <w:t>1</w:t>
      </w:r>
      <w:r w:rsidR="006E59DC">
        <w:rPr>
          <w:rFonts w:cs="Tahoma"/>
          <w:color w:val="000000"/>
        </w:rPr>
        <w:t>.4</w:t>
      </w:r>
      <w:r>
        <w:rPr>
          <w:rFonts w:cs="Tahoma"/>
          <w:color w:val="000000"/>
        </w:rPr>
        <w:t xml:space="preserve">. </w:t>
      </w:r>
      <w:r w:rsidR="00CD6D42" w:rsidRPr="00CD6D42">
        <w:rPr>
          <w:rFonts w:cs="Tahoma"/>
          <w:color w:val="000000"/>
        </w:rPr>
        <w:t xml:space="preserve">Within this statement we use terms such as ‘Users’ and ‘Customers’ as well as other terms which are identified with initial capitalisation. These terms are defined in the glossary. </w:t>
      </w:r>
    </w:p>
    <w:p w14:paraId="2593FFA3" w14:textId="77777777" w:rsidR="00CD6D42" w:rsidRPr="00CD6D42" w:rsidRDefault="008818C1" w:rsidP="00CD6D42">
      <w:pPr>
        <w:autoSpaceDE w:val="0"/>
        <w:autoSpaceDN w:val="0"/>
        <w:adjustRightInd w:val="0"/>
        <w:spacing w:after="273" w:line="240" w:lineRule="auto"/>
        <w:rPr>
          <w:rFonts w:cs="Tahoma"/>
          <w:color w:val="000000"/>
        </w:rPr>
      </w:pPr>
      <w:r>
        <w:rPr>
          <w:rFonts w:cs="Tahoma"/>
          <w:color w:val="000000"/>
        </w:rPr>
        <w:t xml:space="preserve">1.5. </w:t>
      </w:r>
      <w:r w:rsidR="00CD6D42" w:rsidRPr="00CD6D42">
        <w:rPr>
          <w:rFonts w:cs="Tahoma"/>
          <w:color w:val="000000"/>
        </w:rPr>
        <w:t xml:space="preserve">The application of charges to premises can usually be referenced using the Charge Code contained in the charge tables. The Charge Code is applied by reference to the combination of the LLFC, PC and SSC attached to a supply point. Further information on how to identify and calculate the charge that will apply for your premise is provided in the guidance notes in Appendix 2. </w:t>
      </w:r>
    </w:p>
    <w:p w14:paraId="39C2DFB7" w14:textId="77777777" w:rsidR="00CD6D42" w:rsidRDefault="008818C1" w:rsidP="00CD6D42">
      <w:pPr>
        <w:autoSpaceDE w:val="0"/>
        <w:autoSpaceDN w:val="0"/>
        <w:adjustRightInd w:val="0"/>
        <w:spacing w:after="0" w:line="240" w:lineRule="auto"/>
        <w:rPr>
          <w:rFonts w:cs="Tahoma"/>
          <w:color w:val="000000"/>
        </w:rPr>
      </w:pPr>
      <w:r>
        <w:rPr>
          <w:rFonts w:cs="Tahoma"/>
          <w:color w:val="000000"/>
        </w:rPr>
        <w:t xml:space="preserve">1.6. </w:t>
      </w:r>
      <w:r w:rsidR="00CD6D42" w:rsidRPr="00CD6D42">
        <w:rPr>
          <w:rFonts w:cs="Tahoma"/>
          <w:color w:val="000000"/>
        </w:rPr>
        <w:t xml:space="preserve">All charges in this statement are shown </w:t>
      </w:r>
      <w:r w:rsidR="00CD6D42" w:rsidRPr="00CD6D42">
        <w:rPr>
          <w:rFonts w:cs="Tahoma"/>
          <w:b/>
          <w:bCs/>
          <w:color w:val="000000"/>
        </w:rPr>
        <w:t xml:space="preserve">exclusive </w:t>
      </w:r>
      <w:r w:rsidR="00CD6D42" w:rsidRPr="00CD6D42">
        <w:rPr>
          <w:rFonts w:cs="Tahoma"/>
          <w:color w:val="000000"/>
        </w:rPr>
        <w:t xml:space="preserve">of VAT. Invoices will include VAT at the applicable rate. </w:t>
      </w:r>
    </w:p>
    <w:p w14:paraId="040D3E9C" w14:textId="77777777" w:rsidR="00CD6D42" w:rsidRDefault="00CD6D42" w:rsidP="00CD6D42">
      <w:pPr>
        <w:autoSpaceDE w:val="0"/>
        <w:autoSpaceDN w:val="0"/>
        <w:adjustRightInd w:val="0"/>
        <w:spacing w:after="0" w:line="240" w:lineRule="auto"/>
        <w:rPr>
          <w:rFonts w:cs="Tahoma"/>
          <w:color w:val="000000"/>
        </w:rPr>
      </w:pPr>
    </w:p>
    <w:p w14:paraId="0B2792F5" w14:textId="77777777" w:rsidR="00CD6D42" w:rsidRDefault="008818C1" w:rsidP="00CD6D42">
      <w:pPr>
        <w:autoSpaceDE w:val="0"/>
        <w:autoSpaceDN w:val="0"/>
        <w:adjustRightInd w:val="0"/>
        <w:spacing w:after="0" w:line="240" w:lineRule="auto"/>
        <w:rPr>
          <w:rFonts w:cs="Tahoma"/>
        </w:rPr>
      </w:pPr>
      <w:r>
        <w:rPr>
          <w:rFonts w:cs="Tahoma"/>
        </w:rPr>
        <w:t xml:space="preserve">1.7. </w:t>
      </w:r>
      <w:r w:rsidR="00CD6D42" w:rsidRPr="00CD6D42">
        <w:rPr>
          <w:rFonts w:cs="Tahoma"/>
        </w:rPr>
        <w:t>The annexes that form part of this statement are attached in spreadsheet format. This spreadsheet contains supplementary information used for charging purposes and a simple model to assist you to calculate charges. This spreadsheet can be downloaded from http://www.</w:t>
      </w:r>
      <w:r w:rsidR="00CD6D42">
        <w:rPr>
          <w:rFonts w:cs="Tahoma"/>
        </w:rPr>
        <w:t>harlaxtonenergynetworks.co.uk/downloads.</w:t>
      </w:r>
      <w:r w:rsidR="00CD6D42" w:rsidRPr="00CD6D42">
        <w:rPr>
          <w:rFonts w:cs="Tahoma"/>
        </w:rPr>
        <w:t xml:space="preserve"> </w:t>
      </w:r>
    </w:p>
    <w:p w14:paraId="083D81E5" w14:textId="77777777" w:rsidR="006E59DC" w:rsidRPr="00CD6D42" w:rsidRDefault="006E59DC" w:rsidP="00CD6D42">
      <w:pPr>
        <w:autoSpaceDE w:val="0"/>
        <w:autoSpaceDN w:val="0"/>
        <w:adjustRightInd w:val="0"/>
        <w:spacing w:after="0" w:line="240" w:lineRule="auto"/>
        <w:rPr>
          <w:rFonts w:cs="Tahoma"/>
        </w:rPr>
      </w:pPr>
    </w:p>
    <w:p w14:paraId="3AACED35" w14:textId="77777777" w:rsidR="006E59DC" w:rsidRDefault="006E59DC" w:rsidP="006E59DC">
      <w:pPr>
        <w:pStyle w:val="Subtitle"/>
        <w:rPr>
          <w:sz w:val="24"/>
          <w:u w:val="single"/>
        </w:rPr>
      </w:pPr>
      <w:r>
        <w:rPr>
          <w:sz w:val="24"/>
          <w:u w:val="single"/>
        </w:rPr>
        <w:t>How are Charging Methodology is Regulated</w:t>
      </w:r>
    </w:p>
    <w:p w14:paraId="1714DAE1" w14:textId="5A484120" w:rsidR="006E59DC" w:rsidRDefault="00D02BD7" w:rsidP="006E59DC">
      <w:pPr>
        <w:pStyle w:val="Text"/>
        <w:numPr>
          <w:ilvl w:val="1"/>
          <w:numId w:val="20"/>
        </w:numPr>
        <w:rPr>
          <w:rFonts w:asciiTheme="minorHAnsi" w:hAnsiTheme="minorHAnsi"/>
          <w:sz w:val="22"/>
        </w:rPr>
      </w:pPr>
      <w:r>
        <w:rPr>
          <w:rFonts w:asciiTheme="minorHAnsi" w:hAnsiTheme="minorHAnsi"/>
          <w:sz w:val="22"/>
        </w:rPr>
        <w:t>M</w:t>
      </w:r>
      <w:r w:rsidR="006E59DC" w:rsidRPr="006E59DC">
        <w:rPr>
          <w:rFonts w:asciiTheme="minorHAnsi" w:hAnsiTheme="minorHAnsi"/>
          <w:sz w:val="22"/>
        </w:rPr>
        <w:t>odification</w:t>
      </w:r>
      <w:r>
        <w:rPr>
          <w:rFonts w:asciiTheme="minorHAnsi" w:hAnsiTheme="minorHAnsi"/>
          <w:sz w:val="22"/>
        </w:rPr>
        <w:t>s</w:t>
      </w:r>
      <w:r w:rsidR="006E59DC" w:rsidRPr="006E59DC">
        <w:rPr>
          <w:rFonts w:asciiTheme="minorHAnsi" w:hAnsiTheme="minorHAnsi"/>
          <w:sz w:val="22"/>
        </w:rPr>
        <w:t xml:space="preserve"> to </w:t>
      </w:r>
      <w:r>
        <w:rPr>
          <w:rFonts w:asciiTheme="minorHAnsi" w:hAnsiTheme="minorHAnsi"/>
          <w:sz w:val="22"/>
        </w:rPr>
        <w:t xml:space="preserve">the </w:t>
      </w:r>
      <w:r w:rsidR="002A26E4" w:rsidRPr="00D02BD7">
        <w:rPr>
          <w:rFonts w:asciiTheme="minorHAnsi" w:eastAsiaTheme="minorHAnsi" w:hAnsiTheme="minorHAnsi" w:cs="Tahoma"/>
          <w:color w:val="000000"/>
          <w:kern w:val="0"/>
          <w:sz w:val="22"/>
          <w:szCs w:val="22"/>
          <w:lang w:bidi="ar-SA"/>
        </w:rPr>
        <w:t>statement of use of system charging methodology</w:t>
      </w:r>
      <w:r w:rsidR="002A26E4">
        <w:rPr>
          <w:rFonts w:asciiTheme="minorHAnsi" w:eastAsiaTheme="minorHAnsi" w:hAnsiTheme="minorHAnsi" w:cs="Tahoma"/>
          <w:color w:val="000000"/>
          <w:kern w:val="0"/>
          <w:sz w:val="22"/>
          <w:szCs w:val="22"/>
          <w:lang w:bidi="ar-SA"/>
        </w:rPr>
        <w:t xml:space="preserve"> </w:t>
      </w:r>
      <w:r>
        <w:rPr>
          <w:rFonts w:asciiTheme="minorHAnsi" w:eastAsiaTheme="minorHAnsi" w:hAnsiTheme="minorHAnsi" w:cs="Tahoma"/>
          <w:color w:val="000000"/>
          <w:kern w:val="0"/>
          <w:sz w:val="22"/>
          <w:szCs w:val="22"/>
          <w:lang w:bidi="ar-SA"/>
        </w:rPr>
        <w:t>are</w:t>
      </w:r>
      <w:r w:rsidR="006E59DC" w:rsidRPr="006E59DC">
        <w:rPr>
          <w:rFonts w:asciiTheme="minorHAnsi" w:hAnsiTheme="minorHAnsi"/>
          <w:sz w:val="22"/>
        </w:rPr>
        <w:t xml:space="preserve"> subject to </w:t>
      </w:r>
      <w:r>
        <w:rPr>
          <w:rFonts w:asciiTheme="minorHAnsi" w:hAnsiTheme="minorHAnsi"/>
          <w:sz w:val="22"/>
        </w:rPr>
        <w:t xml:space="preserve">Ofgem’s </w:t>
      </w:r>
      <w:r w:rsidR="006E59DC" w:rsidRPr="006E59DC">
        <w:rPr>
          <w:rFonts w:asciiTheme="minorHAnsi" w:hAnsiTheme="minorHAnsi"/>
          <w:sz w:val="22"/>
        </w:rPr>
        <w:t>approval.</w:t>
      </w:r>
    </w:p>
    <w:p w14:paraId="161DAE4D" w14:textId="50D0A46E" w:rsidR="006E59DC" w:rsidRPr="006E59DC" w:rsidRDefault="006E59DC" w:rsidP="006E59DC">
      <w:pPr>
        <w:pStyle w:val="Text"/>
        <w:numPr>
          <w:ilvl w:val="1"/>
          <w:numId w:val="20"/>
        </w:numPr>
        <w:rPr>
          <w:rFonts w:asciiTheme="minorHAnsi" w:hAnsiTheme="minorHAnsi"/>
          <w:sz w:val="22"/>
        </w:rPr>
      </w:pPr>
      <w:r w:rsidRPr="006E59DC">
        <w:rPr>
          <w:rFonts w:asciiTheme="minorHAnsi" w:hAnsiTheme="minorHAnsi"/>
          <w:sz w:val="22"/>
        </w:rPr>
        <w:t xml:space="preserve">Condition 13.3 of our licence specifies a set of </w:t>
      </w:r>
      <w:r w:rsidR="002A26E4" w:rsidRPr="006E59DC">
        <w:rPr>
          <w:rFonts w:asciiTheme="minorHAnsi" w:hAnsiTheme="minorHAnsi"/>
          <w:sz w:val="22"/>
        </w:rPr>
        <w:t xml:space="preserve">relevant objectives for </w:t>
      </w:r>
      <w:r w:rsidRPr="006E59DC">
        <w:rPr>
          <w:rFonts w:asciiTheme="minorHAnsi" w:hAnsiTheme="minorHAnsi"/>
          <w:sz w:val="22"/>
        </w:rPr>
        <w:t>our charging methodologies</w:t>
      </w:r>
      <w:r w:rsidR="00632ACD">
        <w:rPr>
          <w:rFonts w:asciiTheme="minorHAnsi" w:hAnsiTheme="minorHAnsi"/>
          <w:sz w:val="22"/>
        </w:rPr>
        <w:t xml:space="preserve">. </w:t>
      </w:r>
      <w:r w:rsidRPr="006E59DC">
        <w:rPr>
          <w:rFonts w:asciiTheme="minorHAnsi" w:hAnsiTheme="minorHAnsi"/>
          <w:sz w:val="22"/>
        </w:rPr>
        <w:t>These are:</w:t>
      </w:r>
    </w:p>
    <w:p w14:paraId="0BB47B2B" w14:textId="77777777" w:rsidR="006E59DC" w:rsidRPr="006E59DC" w:rsidRDefault="006E59DC" w:rsidP="006E59DC">
      <w:pPr>
        <w:pStyle w:val="Quotation"/>
        <w:rPr>
          <w:rFonts w:asciiTheme="minorHAnsi" w:hAnsiTheme="minorHAnsi"/>
          <w:sz w:val="22"/>
          <w:lang w:val="en-US" w:bidi="ar-SA"/>
        </w:rPr>
      </w:pPr>
      <w:r w:rsidRPr="006E59DC">
        <w:rPr>
          <w:rFonts w:asciiTheme="minorHAnsi" w:hAnsiTheme="minorHAnsi"/>
          <w:sz w:val="22"/>
          <w:lang w:val="en-US" w:bidi="ar-SA"/>
        </w:rPr>
        <w:t>(a) that compliance with the methodology facilitates the discharge by the licensee of the obligations imposed on it under the Act and by this licence;</w:t>
      </w:r>
    </w:p>
    <w:p w14:paraId="25E5E721" w14:textId="77777777" w:rsidR="006E59DC" w:rsidRPr="006E59DC" w:rsidRDefault="006E59DC" w:rsidP="006E59DC">
      <w:pPr>
        <w:pStyle w:val="Quotation"/>
        <w:rPr>
          <w:rFonts w:asciiTheme="minorHAnsi" w:hAnsiTheme="minorHAnsi"/>
          <w:sz w:val="22"/>
          <w:lang w:val="en-US" w:bidi="ar-SA"/>
        </w:rPr>
      </w:pPr>
      <w:r w:rsidRPr="006E59DC">
        <w:rPr>
          <w:rFonts w:asciiTheme="minorHAnsi" w:hAnsiTheme="minorHAnsi"/>
          <w:sz w:val="22"/>
          <w:lang w:val="en-US" w:bidi="ar-SA"/>
        </w:rPr>
        <w:t>(b) that compliance with the methodology facilitates competition in the generation and supply of electricity, and does not restrict, distort, or prevent competition in the transmission or distribution of electricity;</w:t>
      </w:r>
    </w:p>
    <w:p w14:paraId="7FE0B3E7" w14:textId="77777777" w:rsidR="006E59DC" w:rsidRPr="006E59DC" w:rsidRDefault="006E59DC" w:rsidP="006E59DC">
      <w:pPr>
        <w:pStyle w:val="Quotation"/>
        <w:rPr>
          <w:rFonts w:asciiTheme="minorHAnsi" w:hAnsiTheme="minorHAnsi"/>
          <w:sz w:val="22"/>
          <w:lang w:val="en-US" w:bidi="ar-SA"/>
        </w:rPr>
      </w:pPr>
      <w:r w:rsidRPr="006E59DC">
        <w:rPr>
          <w:rFonts w:asciiTheme="minorHAnsi" w:hAnsiTheme="minorHAnsi"/>
          <w:sz w:val="22"/>
          <w:lang w:val="en-US" w:bidi="ar-SA"/>
        </w:rPr>
        <w:t>(c) that compliance with the methodology results in charges which reflect, as far as is reasonably practicable (taking account of implementation costs), the costs incurred by the licensee in its Distribution Business;</w:t>
      </w:r>
    </w:p>
    <w:p w14:paraId="6A6299BB" w14:textId="77777777" w:rsidR="006E59DC" w:rsidRPr="006E59DC" w:rsidRDefault="006E59DC" w:rsidP="006E59DC">
      <w:pPr>
        <w:pStyle w:val="Quotation"/>
        <w:rPr>
          <w:rFonts w:asciiTheme="minorHAnsi" w:hAnsiTheme="minorHAnsi"/>
          <w:sz w:val="22"/>
          <w:lang w:val="en-US" w:bidi="ar-SA"/>
        </w:rPr>
      </w:pPr>
      <w:r w:rsidRPr="006E59DC">
        <w:rPr>
          <w:rFonts w:asciiTheme="minorHAnsi" w:hAnsiTheme="minorHAnsi"/>
          <w:sz w:val="22"/>
          <w:lang w:val="en-US" w:bidi="ar-SA"/>
        </w:rPr>
        <w:lastRenderedPageBreak/>
        <w:t>(d) that, so far as is consistent with subparagraphs (a), (b), and (c), the methodology, as far as is reasonably practicable, properly takes account of developments in the licensee’s Distribution Business; and</w:t>
      </w:r>
    </w:p>
    <w:p w14:paraId="63B07BAA" w14:textId="77777777" w:rsidR="006E59DC" w:rsidRDefault="006E59DC" w:rsidP="006E59DC">
      <w:pPr>
        <w:pStyle w:val="Quotation"/>
        <w:rPr>
          <w:rFonts w:asciiTheme="minorHAnsi" w:hAnsiTheme="minorHAnsi"/>
          <w:sz w:val="22"/>
          <w:lang w:val="en-US" w:bidi="ar-SA"/>
        </w:rPr>
      </w:pPr>
      <w:r w:rsidRPr="006E59DC">
        <w:rPr>
          <w:rFonts w:asciiTheme="minorHAnsi" w:hAnsiTheme="minorHAnsi"/>
          <w:sz w:val="22"/>
          <w:lang w:val="en-US" w:bidi="ar-SA"/>
        </w:rPr>
        <w:t>(e) compliance with the Regulation and any relevant legally binding decisions of the European Commission and/or the Agency for the Co-operation of Energy Regulators.</w:t>
      </w:r>
    </w:p>
    <w:p w14:paraId="048515B5" w14:textId="4FDF7B91" w:rsidR="006E59DC" w:rsidRPr="006E59DC" w:rsidRDefault="006E59DC" w:rsidP="006E59DC">
      <w:pPr>
        <w:pStyle w:val="Quotation"/>
        <w:ind w:left="0"/>
        <w:rPr>
          <w:rFonts w:asciiTheme="minorHAnsi" w:hAnsiTheme="minorHAnsi"/>
          <w:sz w:val="22"/>
          <w:lang w:val="en-US" w:bidi="ar-SA"/>
        </w:rPr>
      </w:pPr>
      <w:r>
        <w:rPr>
          <w:rFonts w:asciiTheme="minorHAnsi" w:hAnsiTheme="minorHAnsi"/>
          <w:sz w:val="22"/>
          <w:lang w:val="en-US" w:bidi="ar-SA"/>
        </w:rPr>
        <w:t xml:space="preserve">1.10 </w:t>
      </w:r>
      <w:r w:rsidRPr="006E59DC">
        <w:rPr>
          <w:rFonts w:asciiTheme="minorHAnsi" w:hAnsiTheme="minorHAnsi"/>
          <w:sz w:val="22"/>
        </w:rPr>
        <w:t xml:space="preserve">Condition 13.4 of our licence specifies that </w:t>
      </w:r>
      <w:r w:rsidRPr="006E59DC">
        <w:rPr>
          <w:rFonts w:asciiTheme="minorHAnsi" w:hAnsiTheme="minorHAnsi"/>
          <w:sz w:val="22"/>
          <w:lang w:val="en-US" w:bidi="ar-SA"/>
        </w:rPr>
        <w:t>befor</w:t>
      </w:r>
      <w:r w:rsidR="002A26E4">
        <w:rPr>
          <w:rFonts w:asciiTheme="minorHAnsi" w:hAnsiTheme="minorHAnsi"/>
          <w:sz w:val="22"/>
          <w:lang w:val="en-US" w:bidi="ar-SA"/>
        </w:rPr>
        <w:t>e making a modification of the charging m</w:t>
      </w:r>
      <w:r w:rsidRPr="006E59DC">
        <w:rPr>
          <w:rFonts w:asciiTheme="minorHAnsi" w:hAnsiTheme="minorHAnsi"/>
          <w:sz w:val="22"/>
          <w:lang w:val="en-US" w:bidi="ar-SA"/>
        </w:rPr>
        <w:t xml:space="preserve">ethodology we must </w:t>
      </w:r>
      <w:r w:rsidR="002A26E4">
        <w:rPr>
          <w:rFonts w:asciiTheme="minorHAnsi" w:hAnsiTheme="minorHAnsi"/>
          <w:sz w:val="22"/>
          <w:lang w:val="en-US" w:bidi="ar-SA"/>
        </w:rPr>
        <w:t xml:space="preserve">send </w:t>
      </w:r>
      <w:r w:rsidRPr="006E59DC">
        <w:rPr>
          <w:rFonts w:asciiTheme="minorHAnsi" w:hAnsiTheme="minorHAnsi"/>
          <w:sz w:val="22"/>
          <w:lang w:val="en-US" w:bidi="ar-SA"/>
        </w:rPr>
        <w:t>to Ofgem a report whic</w:t>
      </w:r>
      <w:r w:rsidRPr="006E59DC">
        <w:rPr>
          <w:rFonts w:asciiTheme="minorHAnsi" w:hAnsiTheme="minorHAnsi"/>
          <w:sz w:val="22"/>
        </w:rPr>
        <w:t>h sets out:</w:t>
      </w:r>
    </w:p>
    <w:p w14:paraId="009E7848" w14:textId="77777777" w:rsidR="006E59DC" w:rsidRPr="006E59DC" w:rsidRDefault="006E59DC" w:rsidP="006E59DC">
      <w:pPr>
        <w:pStyle w:val="Quotation"/>
        <w:rPr>
          <w:rFonts w:asciiTheme="minorHAnsi" w:hAnsiTheme="minorHAnsi"/>
          <w:sz w:val="22"/>
          <w:lang w:val="en-US" w:bidi="ar-SA"/>
        </w:rPr>
      </w:pPr>
      <w:r w:rsidRPr="006E59DC">
        <w:rPr>
          <w:rFonts w:asciiTheme="minorHAnsi" w:hAnsiTheme="minorHAnsi"/>
          <w:sz w:val="22"/>
          <w:lang w:val="en-US" w:bidi="ar-SA"/>
        </w:rPr>
        <w:t>(i) the terms proposed for the modification,</w:t>
      </w:r>
    </w:p>
    <w:p w14:paraId="5A79061F" w14:textId="77777777" w:rsidR="006E59DC" w:rsidRPr="006E59DC" w:rsidRDefault="006E59DC" w:rsidP="006E59DC">
      <w:pPr>
        <w:pStyle w:val="Quotation"/>
        <w:rPr>
          <w:rFonts w:asciiTheme="minorHAnsi" w:hAnsiTheme="minorHAnsi"/>
          <w:sz w:val="22"/>
          <w:lang w:val="en-US" w:bidi="ar-SA"/>
        </w:rPr>
      </w:pPr>
      <w:r w:rsidRPr="006E59DC">
        <w:rPr>
          <w:rFonts w:asciiTheme="minorHAnsi" w:hAnsiTheme="minorHAnsi"/>
          <w:sz w:val="22"/>
          <w:lang w:val="en-US" w:bidi="ar-SA"/>
        </w:rPr>
        <w:t>(ii) how the modification would better achieve the Relevant Objectives, and</w:t>
      </w:r>
    </w:p>
    <w:p w14:paraId="6FECB44B" w14:textId="77777777" w:rsidR="006E59DC" w:rsidRDefault="006E59DC" w:rsidP="006E59DC">
      <w:pPr>
        <w:pStyle w:val="Quotation"/>
        <w:rPr>
          <w:rFonts w:asciiTheme="minorHAnsi" w:hAnsiTheme="minorHAnsi"/>
          <w:color w:val="000000"/>
          <w:kern w:val="0"/>
          <w:sz w:val="22"/>
          <w:szCs w:val="24"/>
          <w:lang w:val="en-US" w:bidi="ar-SA"/>
        </w:rPr>
      </w:pPr>
      <w:r w:rsidRPr="006E59DC">
        <w:rPr>
          <w:rFonts w:asciiTheme="minorHAnsi" w:hAnsiTheme="minorHAnsi"/>
          <w:sz w:val="22"/>
          <w:lang w:val="en-US" w:bidi="ar-SA"/>
        </w:rPr>
        <w:t>(iii) a timetable for implementing the modification and the date with effect from which the</w:t>
      </w:r>
      <w:r w:rsidRPr="006E59DC">
        <w:rPr>
          <w:rFonts w:asciiTheme="minorHAnsi" w:hAnsiTheme="minorHAnsi"/>
          <w:color w:val="000000"/>
          <w:kern w:val="0"/>
          <w:sz w:val="22"/>
          <w:szCs w:val="24"/>
          <w:lang w:val="en-US" w:bidi="ar-SA"/>
        </w:rPr>
        <w:t xml:space="preserve"> modification (if made) is to take effect.</w:t>
      </w:r>
    </w:p>
    <w:p w14:paraId="66CD8F2A" w14:textId="77777777" w:rsidR="006E59DC" w:rsidRPr="006E59DC" w:rsidRDefault="006E59DC" w:rsidP="006E59DC">
      <w:pPr>
        <w:pStyle w:val="Quotation"/>
        <w:numPr>
          <w:ilvl w:val="1"/>
          <w:numId w:val="21"/>
        </w:numPr>
        <w:rPr>
          <w:rFonts w:asciiTheme="minorHAnsi" w:hAnsiTheme="minorHAnsi"/>
          <w:color w:val="000000"/>
          <w:kern w:val="0"/>
          <w:sz w:val="22"/>
          <w:szCs w:val="24"/>
          <w:lang w:val="en-US" w:bidi="ar-SA"/>
        </w:rPr>
      </w:pPr>
      <w:r w:rsidRPr="006E59DC">
        <w:rPr>
          <w:rFonts w:asciiTheme="minorHAnsi" w:hAnsiTheme="minorHAnsi"/>
          <w:sz w:val="22"/>
          <w:lang w:val="en-US" w:bidi="ar-SA"/>
        </w:rPr>
        <w:t xml:space="preserve">Condition 13.7 </w:t>
      </w:r>
      <w:r w:rsidRPr="006E59DC">
        <w:rPr>
          <w:rFonts w:asciiTheme="minorHAnsi" w:hAnsiTheme="minorHAnsi"/>
          <w:sz w:val="22"/>
        </w:rPr>
        <w:t>empowers</w:t>
      </w:r>
      <w:r w:rsidRPr="006E59DC">
        <w:rPr>
          <w:rFonts w:asciiTheme="minorHAnsi" w:hAnsiTheme="minorHAnsi"/>
          <w:sz w:val="22"/>
          <w:lang w:val="en-US" w:bidi="ar-SA"/>
        </w:rPr>
        <w:t xml:space="preserve"> Ofgem to veto modifications to our charging methodology.</w:t>
      </w:r>
    </w:p>
    <w:p w14:paraId="76FA2A14" w14:textId="77777777" w:rsidR="006E59DC" w:rsidRPr="006E59DC" w:rsidRDefault="006E59DC" w:rsidP="006E59DC">
      <w:pPr>
        <w:pStyle w:val="Text"/>
        <w:tabs>
          <w:tab w:val="clear" w:pos="720"/>
        </w:tabs>
        <w:ind w:left="0" w:firstLine="0"/>
        <w:rPr>
          <w:rFonts w:asciiTheme="minorHAnsi" w:hAnsiTheme="minorHAnsi"/>
          <w:sz w:val="22"/>
        </w:rPr>
      </w:pPr>
      <w:r>
        <w:rPr>
          <w:rFonts w:asciiTheme="minorHAnsi" w:hAnsiTheme="minorHAnsi"/>
          <w:sz w:val="22"/>
        </w:rPr>
        <w:t xml:space="preserve">1.12 </w:t>
      </w:r>
      <w:r w:rsidRPr="006E59DC">
        <w:rPr>
          <w:rFonts w:asciiTheme="minorHAnsi" w:hAnsiTheme="minorHAnsi"/>
          <w:sz w:val="22"/>
        </w:rPr>
        <w:t>Condition BA2 of our licence places additional restrictions on our charging methodology in respect of domestic customers:</w:t>
      </w:r>
    </w:p>
    <w:p w14:paraId="762D29B6" w14:textId="77777777" w:rsidR="006E59DC" w:rsidRPr="006E59DC" w:rsidRDefault="006E59DC" w:rsidP="006E59DC">
      <w:pPr>
        <w:pStyle w:val="Quotation"/>
        <w:rPr>
          <w:rFonts w:asciiTheme="minorHAnsi" w:hAnsiTheme="minorHAnsi"/>
          <w:sz w:val="22"/>
        </w:rPr>
      </w:pPr>
      <w:r w:rsidRPr="006E59DC">
        <w:rPr>
          <w:rFonts w:asciiTheme="minorHAnsi" w:hAnsiTheme="minorHAnsi"/>
          <w:sz w:val="22"/>
        </w:rPr>
        <w:t>1. The licensee must make, and continue to make, charges available, in accordance with the requirements of this condition, for the provision of Use of System to any Authorised supplier of electricity that uses or wishes to use the licensee's Distribution System to supply electricity to Domestic Customers.</w:t>
      </w:r>
    </w:p>
    <w:p w14:paraId="3DA6336A" w14:textId="77777777" w:rsidR="006E59DC" w:rsidRPr="006E59DC" w:rsidRDefault="006E59DC" w:rsidP="006E59DC">
      <w:pPr>
        <w:pStyle w:val="Quotation"/>
        <w:rPr>
          <w:rFonts w:asciiTheme="minorHAnsi" w:hAnsiTheme="minorHAnsi"/>
          <w:sz w:val="22"/>
        </w:rPr>
      </w:pPr>
      <w:r w:rsidRPr="006E59DC">
        <w:rPr>
          <w:rFonts w:asciiTheme="minorHAnsi" w:hAnsiTheme="minorHAnsi"/>
          <w:sz w:val="22"/>
        </w:rPr>
        <w:t>2. The licensee's Use of System Charges in relation to Domestic Customers may vary according to the Distribution Services Area of the Electricity Distributor within which Domestic Premises are connected to the licensee's Distribution System.</w:t>
      </w:r>
    </w:p>
    <w:p w14:paraId="2C0F2C92" w14:textId="77777777" w:rsidR="006E59DC" w:rsidRDefault="006E59DC" w:rsidP="006E59DC">
      <w:pPr>
        <w:pStyle w:val="Quotation"/>
        <w:rPr>
          <w:rFonts w:asciiTheme="minorHAnsi" w:hAnsiTheme="minorHAnsi"/>
          <w:sz w:val="22"/>
        </w:rPr>
      </w:pPr>
      <w:r w:rsidRPr="006E59DC">
        <w:rPr>
          <w:rFonts w:asciiTheme="minorHAnsi" w:hAnsiTheme="minorHAnsi"/>
          <w:sz w:val="22"/>
        </w:rPr>
        <w:t>3. The licensee must set those Use of System Charges so that, except with the Authority's consent, the standing charge, unit rate, and any other component of the charges does not exceed the Use of System Charges to equivalent Domestic Custo</w:t>
      </w:r>
      <w:r>
        <w:rPr>
          <w:rFonts w:asciiTheme="minorHAnsi" w:hAnsiTheme="minorHAnsi"/>
          <w:sz w:val="22"/>
        </w:rPr>
        <w:t>mers ("the equivalent charges").</w:t>
      </w:r>
    </w:p>
    <w:p w14:paraId="5D2DA651" w14:textId="77777777" w:rsidR="00CD6D42" w:rsidRPr="00D02BD7" w:rsidRDefault="006E59DC" w:rsidP="00D02BD7">
      <w:pPr>
        <w:pStyle w:val="Quotation"/>
        <w:rPr>
          <w:rFonts w:asciiTheme="minorHAnsi" w:hAnsiTheme="minorHAnsi"/>
          <w:sz w:val="22"/>
        </w:rPr>
      </w:pPr>
      <w:r>
        <w:rPr>
          <w:rFonts w:asciiTheme="minorHAnsi" w:hAnsiTheme="minorHAnsi"/>
          <w:sz w:val="22"/>
        </w:rPr>
        <w:t xml:space="preserve">4. </w:t>
      </w:r>
      <w:r w:rsidRPr="006E59DC">
        <w:rPr>
          <w:rFonts w:asciiTheme="minorHAnsi" w:hAnsiTheme="minorHAnsi"/>
          <w:sz w:val="22"/>
        </w:rPr>
        <w:t>For the purposes of paragraph 3, equivalent charges are the Use of System Charges made by the Electricity Distributor which has a Distribution Services Direction that specifies the Distribution Services Area in which the Domestic Premises connected to the licensee's Distribution System are located</w:t>
      </w:r>
      <w:r w:rsidR="00D02BD7">
        <w:rPr>
          <w:rFonts w:asciiTheme="minorHAnsi" w:hAnsiTheme="minorHAnsi"/>
          <w:sz w:val="22"/>
        </w:rPr>
        <w:t>.</w:t>
      </w:r>
    </w:p>
    <w:p w14:paraId="3B5263FE" w14:textId="77777777" w:rsidR="00CD6D42" w:rsidRPr="00CD6D42" w:rsidRDefault="00CD6D42" w:rsidP="00CD6D42">
      <w:pPr>
        <w:pStyle w:val="Subtitle"/>
        <w:rPr>
          <w:sz w:val="24"/>
          <w:u w:val="single"/>
        </w:rPr>
      </w:pPr>
      <w:r w:rsidRPr="00CD6D42">
        <w:rPr>
          <w:sz w:val="24"/>
          <w:u w:val="single"/>
        </w:rPr>
        <w:t xml:space="preserve">Validity period </w:t>
      </w:r>
    </w:p>
    <w:p w14:paraId="62D2D6B2" w14:textId="77777777" w:rsidR="00CD6D42" w:rsidRPr="00CD6D42" w:rsidRDefault="008818C1" w:rsidP="00CD6D42">
      <w:pPr>
        <w:autoSpaceDE w:val="0"/>
        <w:autoSpaceDN w:val="0"/>
        <w:adjustRightInd w:val="0"/>
        <w:spacing w:after="274" w:line="240" w:lineRule="auto"/>
        <w:rPr>
          <w:rFonts w:cs="Tahoma"/>
          <w:color w:val="000000"/>
        </w:rPr>
      </w:pPr>
      <w:r>
        <w:rPr>
          <w:rFonts w:cs="Tahoma"/>
          <w:color w:val="000000"/>
        </w:rPr>
        <w:t>1.</w:t>
      </w:r>
      <w:r w:rsidR="00377F62">
        <w:rPr>
          <w:rFonts w:cs="Tahoma"/>
          <w:color w:val="000000"/>
        </w:rPr>
        <w:t>13</w:t>
      </w:r>
      <w:r>
        <w:rPr>
          <w:rFonts w:cs="Tahoma"/>
          <w:color w:val="000000"/>
        </w:rPr>
        <w:t xml:space="preserve">. </w:t>
      </w:r>
      <w:r w:rsidR="00CD6D42" w:rsidRPr="00CD6D42">
        <w:rPr>
          <w:rFonts w:cs="Tahoma"/>
          <w:color w:val="000000"/>
        </w:rPr>
        <w:t xml:space="preserve">This charging statement is valid for services provided from the effective date stated on the front of the statement and remains valid until updated by a revised version or superseded by a statement with a later effective date. </w:t>
      </w:r>
    </w:p>
    <w:p w14:paraId="4D83592F" w14:textId="77777777" w:rsidR="00CD6D42" w:rsidRPr="00CD6D42" w:rsidRDefault="008818C1" w:rsidP="00CD6D42">
      <w:pPr>
        <w:autoSpaceDE w:val="0"/>
        <w:autoSpaceDN w:val="0"/>
        <w:adjustRightInd w:val="0"/>
        <w:spacing w:after="274" w:line="240" w:lineRule="auto"/>
        <w:rPr>
          <w:rFonts w:cs="Tahoma"/>
          <w:color w:val="000000"/>
        </w:rPr>
      </w:pPr>
      <w:r>
        <w:rPr>
          <w:rFonts w:cs="Tahoma"/>
          <w:color w:val="000000"/>
        </w:rPr>
        <w:t>1.</w:t>
      </w:r>
      <w:r w:rsidR="00377F62">
        <w:rPr>
          <w:rFonts w:cs="Tahoma"/>
          <w:color w:val="000000"/>
        </w:rPr>
        <w:t>14</w:t>
      </w:r>
      <w:r>
        <w:rPr>
          <w:rFonts w:cs="Tahoma"/>
          <w:color w:val="000000"/>
        </w:rPr>
        <w:t xml:space="preserve">. </w:t>
      </w:r>
      <w:r w:rsidR="00CD6D42" w:rsidRPr="00CD6D42">
        <w:rPr>
          <w:rFonts w:cs="Tahoma"/>
          <w:color w:val="000000"/>
        </w:rPr>
        <w:t xml:space="preserve">When using this charging statement care should be taken to ensure that the statement or statements covering the period that is of interest are used. </w:t>
      </w:r>
    </w:p>
    <w:p w14:paraId="430136D7" w14:textId="77777777" w:rsidR="00CD6D42" w:rsidRPr="00CD6D42" w:rsidRDefault="008818C1" w:rsidP="00CD6D42">
      <w:pPr>
        <w:autoSpaceDE w:val="0"/>
        <w:autoSpaceDN w:val="0"/>
        <w:adjustRightInd w:val="0"/>
        <w:spacing w:after="0" w:line="240" w:lineRule="auto"/>
        <w:rPr>
          <w:rFonts w:cs="Tahoma"/>
          <w:color w:val="000000"/>
        </w:rPr>
      </w:pPr>
      <w:r>
        <w:rPr>
          <w:rFonts w:cs="Tahoma"/>
          <w:color w:val="000000"/>
        </w:rPr>
        <w:t>1.1</w:t>
      </w:r>
      <w:r w:rsidR="00377F62">
        <w:rPr>
          <w:rFonts w:cs="Tahoma"/>
          <w:color w:val="000000"/>
        </w:rPr>
        <w:t>5</w:t>
      </w:r>
      <w:r>
        <w:rPr>
          <w:rFonts w:cs="Tahoma"/>
          <w:color w:val="000000"/>
        </w:rPr>
        <w:t xml:space="preserve">. </w:t>
      </w:r>
      <w:r w:rsidR="00CD6D42">
        <w:rPr>
          <w:rFonts w:cs="Tahoma"/>
          <w:color w:val="000000"/>
        </w:rPr>
        <w:t>N</w:t>
      </w:r>
      <w:r w:rsidR="00CD6D42" w:rsidRPr="00CD6D42">
        <w:rPr>
          <w:rFonts w:cs="Tahoma"/>
          <w:color w:val="000000"/>
        </w:rPr>
        <w:t xml:space="preserve">otice of any revision to the statement will be provided to Users of our Distribution System. The latest statements can be downloaded from </w:t>
      </w:r>
      <w:r w:rsidR="00CD6D42" w:rsidRPr="00CD6D42">
        <w:rPr>
          <w:rFonts w:cs="Tahoma"/>
        </w:rPr>
        <w:t>http://www.</w:t>
      </w:r>
      <w:r w:rsidR="00CD6D42">
        <w:rPr>
          <w:rFonts w:cs="Tahoma"/>
        </w:rPr>
        <w:t>harlaxtonenergynetworks.co.uk/downloads.</w:t>
      </w:r>
    </w:p>
    <w:p w14:paraId="20A1BCFC" w14:textId="77777777" w:rsidR="005073C3" w:rsidRDefault="005073C3" w:rsidP="00CD6D42">
      <w:pPr>
        <w:autoSpaceDE w:val="0"/>
        <w:autoSpaceDN w:val="0"/>
        <w:adjustRightInd w:val="0"/>
        <w:spacing w:after="0" w:line="240" w:lineRule="auto"/>
        <w:rPr>
          <w:rFonts w:cs="Tahoma"/>
          <w:color w:val="000000"/>
        </w:rPr>
      </w:pPr>
    </w:p>
    <w:p w14:paraId="77DBD215" w14:textId="77777777" w:rsidR="008818C1" w:rsidRDefault="008818C1" w:rsidP="001219BA">
      <w:pPr>
        <w:autoSpaceDE w:val="0"/>
        <w:autoSpaceDN w:val="0"/>
        <w:adjustRightInd w:val="0"/>
        <w:spacing w:after="0" w:line="240" w:lineRule="auto"/>
        <w:rPr>
          <w:rFonts w:cs="Tahoma"/>
          <w:color w:val="000000"/>
          <w:sz w:val="16"/>
          <w:szCs w:val="16"/>
        </w:rPr>
      </w:pPr>
    </w:p>
    <w:p w14:paraId="471754DB" w14:textId="77777777" w:rsidR="00377F62" w:rsidRDefault="00377F62" w:rsidP="001219BA">
      <w:pPr>
        <w:autoSpaceDE w:val="0"/>
        <w:autoSpaceDN w:val="0"/>
        <w:adjustRightInd w:val="0"/>
        <w:spacing w:after="0" w:line="240" w:lineRule="auto"/>
        <w:rPr>
          <w:rFonts w:cs="Tahoma"/>
          <w:color w:val="000000"/>
          <w:sz w:val="16"/>
          <w:szCs w:val="16"/>
        </w:rPr>
      </w:pPr>
    </w:p>
    <w:p w14:paraId="651F3EAE" w14:textId="77777777" w:rsidR="00377F62" w:rsidRDefault="00377F62" w:rsidP="001219BA">
      <w:pPr>
        <w:autoSpaceDE w:val="0"/>
        <w:autoSpaceDN w:val="0"/>
        <w:adjustRightInd w:val="0"/>
        <w:spacing w:after="0" w:line="240" w:lineRule="auto"/>
        <w:rPr>
          <w:rFonts w:cs="Tahoma"/>
          <w:color w:val="000000"/>
          <w:sz w:val="16"/>
          <w:szCs w:val="16"/>
        </w:rPr>
      </w:pPr>
    </w:p>
    <w:p w14:paraId="7AB49357" w14:textId="77777777" w:rsidR="00377F62" w:rsidRDefault="00377F62" w:rsidP="001219BA">
      <w:pPr>
        <w:autoSpaceDE w:val="0"/>
        <w:autoSpaceDN w:val="0"/>
        <w:adjustRightInd w:val="0"/>
        <w:spacing w:after="0" w:line="240" w:lineRule="auto"/>
        <w:rPr>
          <w:rFonts w:cs="Tahoma"/>
          <w:color w:val="000000"/>
          <w:sz w:val="16"/>
          <w:szCs w:val="16"/>
        </w:rPr>
      </w:pPr>
    </w:p>
    <w:p w14:paraId="7C8573A7" w14:textId="77777777" w:rsidR="00377F62" w:rsidRDefault="00377F62" w:rsidP="001219BA">
      <w:pPr>
        <w:autoSpaceDE w:val="0"/>
        <w:autoSpaceDN w:val="0"/>
        <w:adjustRightInd w:val="0"/>
        <w:spacing w:after="0" w:line="240" w:lineRule="auto"/>
        <w:rPr>
          <w:rFonts w:cs="Tahoma"/>
          <w:color w:val="000000"/>
          <w:sz w:val="16"/>
          <w:szCs w:val="16"/>
        </w:rPr>
      </w:pPr>
    </w:p>
    <w:p w14:paraId="32CA8A31" w14:textId="77777777" w:rsidR="00377F62" w:rsidRPr="001219BA" w:rsidRDefault="00377F62" w:rsidP="001219BA">
      <w:pPr>
        <w:autoSpaceDE w:val="0"/>
        <w:autoSpaceDN w:val="0"/>
        <w:adjustRightInd w:val="0"/>
        <w:spacing w:after="0" w:line="240" w:lineRule="auto"/>
        <w:rPr>
          <w:rFonts w:cs="Tahoma"/>
          <w:color w:val="000000"/>
          <w:sz w:val="16"/>
          <w:szCs w:val="16"/>
        </w:rPr>
      </w:pPr>
    </w:p>
    <w:p w14:paraId="1F24591D" w14:textId="77777777" w:rsidR="00CD6D42" w:rsidRPr="00CD6D42" w:rsidRDefault="00CD6D42" w:rsidP="00CD6D42">
      <w:pPr>
        <w:pStyle w:val="Subtitle"/>
        <w:rPr>
          <w:sz w:val="24"/>
          <w:u w:val="single"/>
        </w:rPr>
      </w:pPr>
      <w:r w:rsidRPr="00CD6D42">
        <w:rPr>
          <w:sz w:val="24"/>
          <w:u w:val="single"/>
        </w:rPr>
        <w:t>Contact Details</w:t>
      </w:r>
    </w:p>
    <w:p w14:paraId="507B62CF" w14:textId="77777777" w:rsidR="00140A36" w:rsidRPr="0069787F" w:rsidRDefault="008818C1" w:rsidP="00140A36">
      <w:pPr>
        <w:autoSpaceDE w:val="0"/>
        <w:autoSpaceDN w:val="0"/>
        <w:adjustRightInd w:val="0"/>
        <w:spacing w:after="0" w:line="240" w:lineRule="auto"/>
        <w:rPr>
          <w:rFonts w:cs="Helvetica"/>
          <w:color w:val="000000"/>
        </w:rPr>
      </w:pPr>
      <w:r>
        <w:rPr>
          <w:rFonts w:cs="Helvetica"/>
          <w:color w:val="000000"/>
        </w:rPr>
        <w:t>1.1</w:t>
      </w:r>
      <w:r w:rsidR="00377F62">
        <w:rPr>
          <w:rFonts w:cs="Helvetica"/>
          <w:color w:val="000000"/>
        </w:rPr>
        <w:t>6</w:t>
      </w:r>
      <w:r>
        <w:rPr>
          <w:rFonts w:cs="Helvetica"/>
          <w:color w:val="000000"/>
        </w:rPr>
        <w:t xml:space="preserve">. </w:t>
      </w:r>
      <w:r w:rsidR="00140A36" w:rsidRPr="0069787F">
        <w:rPr>
          <w:rFonts w:cs="Helvetica"/>
          <w:color w:val="000000"/>
        </w:rPr>
        <w:t>If you have any questions about this stat</w:t>
      </w:r>
      <w:r w:rsidR="00546610">
        <w:rPr>
          <w:rFonts w:cs="Helvetica"/>
          <w:color w:val="000000"/>
        </w:rPr>
        <w:t>ement, please contact us at the below</w:t>
      </w:r>
      <w:r w:rsidR="00140A36" w:rsidRPr="0069787F">
        <w:rPr>
          <w:rFonts w:cs="Helvetica"/>
          <w:color w:val="000000"/>
        </w:rPr>
        <w:t xml:space="preserve"> address:</w:t>
      </w:r>
    </w:p>
    <w:p w14:paraId="288A7EA9" w14:textId="77777777" w:rsidR="009A4C88" w:rsidRPr="0069787F" w:rsidRDefault="009A4C88" w:rsidP="00140A36">
      <w:pPr>
        <w:autoSpaceDE w:val="0"/>
        <w:autoSpaceDN w:val="0"/>
        <w:adjustRightInd w:val="0"/>
        <w:spacing w:after="0" w:line="240" w:lineRule="auto"/>
        <w:rPr>
          <w:rFonts w:cs="Helvetica"/>
          <w:color w:val="000000"/>
        </w:rPr>
      </w:pPr>
    </w:p>
    <w:p w14:paraId="6429DC9A" w14:textId="77777777"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Business Operations Manager</w:t>
      </w:r>
    </w:p>
    <w:p w14:paraId="3500FD87" w14:textId="77777777" w:rsidR="00E811B3"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Harlaxton Energy Networks</w:t>
      </w:r>
      <w:r w:rsidR="00E16BF3">
        <w:rPr>
          <w:rFonts w:cs="Helvetica"/>
          <w:color w:val="000000"/>
        </w:rPr>
        <w:t xml:space="preserve"> Limited</w:t>
      </w:r>
    </w:p>
    <w:p w14:paraId="020AE802" w14:textId="6E6D9E0F" w:rsidR="009A4C88" w:rsidRPr="0069787F" w:rsidRDefault="00F11159" w:rsidP="00140A36">
      <w:pPr>
        <w:autoSpaceDE w:val="0"/>
        <w:autoSpaceDN w:val="0"/>
        <w:adjustRightInd w:val="0"/>
        <w:spacing w:after="0" w:line="240" w:lineRule="auto"/>
        <w:rPr>
          <w:rFonts w:cs="Helvetica"/>
          <w:color w:val="000000"/>
        </w:rPr>
      </w:pPr>
      <w:r>
        <w:rPr>
          <w:rFonts w:cs="Helvetica"/>
          <w:color w:val="000000"/>
        </w:rPr>
        <w:t>Toll Bar Road</w:t>
      </w:r>
    </w:p>
    <w:p w14:paraId="77733E89" w14:textId="3567D8EF" w:rsidR="009A4C88" w:rsidRPr="0069787F" w:rsidRDefault="00F11159" w:rsidP="00140A36">
      <w:pPr>
        <w:autoSpaceDE w:val="0"/>
        <w:autoSpaceDN w:val="0"/>
        <w:adjustRightInd w:val="0"/>
        <w:spacing w:after="0" w:line="240" w:lineRule="auto"/>
        <w:rPr>
          <w:rFonts w:cs="Helvetica"/>
          <w:color w:val="000000"/>
        </w:rPr>
      </w:pPr>
      <w:r>
        <w:rPr>
          <w:rFonts w:cs="Helvetica"/>
          <w:color w:val="000000"/>
        </w:rPr>
        <w:t>Marston</w:t>
      </w:r>
    </w:p>
    <w:p w14:paraId="1B32F540" w14:textId="77777777" w:rsidR="009A4C88"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Grantham</w:t>
      </w:r>
    </w:p>
    <w:p w14:paraId="0CF75CD0" w14:textId="77777777" w:rsidR="009A4C88" w:rsidRPr="0069787F" w:rsidRDefault="00E811B3" w:rsidP="00140A36">
      <w:pPr>
        <w:autoSpaceDE w:val="0"/>
        <w:autoSpaceDN w:val="0"/>
        <w:adjustRightInd w:val="0"/>
        <w:spacing w:after="0" w:line="240" w:lineRule="auto"/>
        <w:rPr>
          <w:rFonts w:cs="Helvetica"/>
          <w:color w:val="000000"/>
        </w:rPr>
      </w:pPr>
      <w:r w:rsidRPr="0069787F">
        <w:rPr>
          <w:rFonts w:cs="Helvetica"/>
          <w:color w:val="000000"/>
        </w:rPr>
        <w:t>Lincolnshire</w:t>
      </w:r>
    </w:p>
    <w:p w14:paraId="08B052C2" w14:textId="50D27F39" w:rsidR="009A4C88" w:rsidRPr="0069787F" w:rsidRDefault="00F11159" w:rsidP="00140A36">
      <w:pPr>
        <w:autoSpaceDE w:val="0"/>
        <w:autoSpaceDN w:val="0"/>
        <w:adjustRightInd w:val="0"/>
        <w:spacing w:after="0" w:line="240" w:lineRule="auto"/>
        <w:rPr>
          <w:rFonts w:cs="Helvetica"/>
          <w:color w:val="000000"/>
        </w:rPr>
      </w:pPr>
      <w:r>
        <w:rPr>
          <w:rFonts w:cs="Helvetica"/>
          <w:color w:val="000000"/>
        </w:rPr>
        <w:t>NG32 2HT</w:t>
      </w:r>
    </w:p>
    <w:p w14:paraId="6F63A2FB" w14:textId="77777777" w:rsidR="009A4C88" w:rsidRPr="0069787F" w:rsidRDefault="00B9149E" w:rsidP="00140A36">
      <w:pPr>
        <w:autoSpaceDE w:val="0"/>
        <w:autoSpaceDN w:val="0"/>
        <w:adjustRightInd w:val="0"/>
        <w:spacing w:after="0" w:line="240" w:lineRule="auto"/>
        <w:rPr>
          <w:rFonts w:cs="Helvetica"/>
          <w:color w:val="000000"/>
        </w:rPr>
      </w:pPr>
      <w:r w:rsidRPr="0069787F">
        <w:rPr>
          <w:rFonts w:cs="Helvetica"/>
          <w:color w:val="000000"/>
        </w:rPr>
        <w:t>Tel: +44 (0) 844 800 1813</w:t>
      </w:r>
    </w:p>
    <w:p w14:paraId="5C707476" w14:textId="77777777" w:rsidR="009A4C88" w:rsidRPr="0069787F" w:rsidRDefault="009A4C88" w:rsidP="00140A36">
      <w:pPr>
        <w:autoSpaceDE w:val="0"/>
        <w:autoSpaceDN w:val="0"/>
        <w:adjustRightInd w:val="0"/>
        <w:spacing w:after="0" w:line="240" w:lineRule="auto"/>
        <w:rPr>
          <w:rFonts w:cs="Helvetica"/>
        </w:rPr>
      </w:pPr>
      <w:r w:rsidRPr="0069787F">
        <w:rPr>
          <w:rFonts w:cs="Helvetica"/>
        </w:rPr>
        <w:t xml:space="preserve">Email: </w:t>
      </w:r>
      <w:hyperlink r:id="rId8" w:history="1">
        <w:r w:rsidR="008A2085" w:rsidRPr="0069787F">
          <w:rPr>
            <w:rStyle w:val="Hyperlink"/>
            <w:rFonts w:cs="Helvetica"/>
          </w:rPr>
          <w:t>info</w:t>
        </w:r>
        <w:r w:rsidR="00B9149E" w:rsidRPr="0069787F">
          <w:rPr>
            <w:rStyle w:val="Hyperlink"/>
            <w:rFonts w:cs="Helvetica"/>
          </w:rPr>
          <w:t xml:space="preserve">@harlaxtonenergynetworks.com </w:t>
        </w:r>
      </w:hyperlink>
      <w:r w:rsidR="001B22DC" w:rsidRPr="0069787F">
        <w:rPr>
          <w:rFonts w:cs="Helvetica"/>
        </w:rPr>
        <w:t xml:space="preserve"> </w:t>
      </w:r>
    </w:p>
    <w:p w14:paraId="6130C7AE" w14:textId="77777777" w:rsidR="009A4C88" w:rsidRPr="0069787F" w:rsidRDefault="009A4C88" w:rsidP="00140A36">
      <w:pPr>
        <w:autoSpaceDE w:val="0"/>
        <w:autoSpaceDN w:val="0"/>
        <w:adjustRightInd w:val="0"/>
        <w:spacing w:after="0" w:line="240" w:lineRule="auto"/>
        <w:rPr>
          <w:rFonts w:cs="Helvetica"/>
        </w:rPr>
      </w:pPr>
    </w:p>
    <w:p w14:paraId="27693EDF" w14:textId="77777777" w:rsidR="00140A36" w:rsidRPr="0069787F" w:rsidRDefault="00377F62" w:rsidP="00140A36">
      <w:pPr>
        <w:autoSpaceDE w:val="0"/>
        <w:autoSpaceDN w:val="0"/>
        <w:adjustRightInd w:val="0"/>
        <w:spacing w:after="0" w:line="240" w:lineRule="auto"/>
        <w:rPr>
          <w:rFonts w:cs="Helvetica"/>
        </w:rPr>
      </w:pPr>
      <w:r>
        <w:rPr>
          <w:rFonts w:cs="Helvetica"/>
        </w:rPr>
        <w:t>1.17</w:t>
      </w:r>
      <w:r w:rsidR="008818C1">
        <w:rPr>
          <w:rFonts w:cs="Helvetica"/>
        </w:rPr>
        <w:t xml:space="preserve">. </w:t>
      </w:r>
      <w:r w:rsidR="00140A36" w:rsidRPr="0069787F">
        <w:rPr>
          <w:rFonts w:cs="Helvetica"/>
        </w:rPr>
        <w:t>All enquiries regarding Connection Agreements and changes to maximum capacities</w:t>
      </w:r>
      <w:r w:rsidR="001B22DC" w:rsidRPr="0069787F">
        <w:rPr>
          <w:rFonts w:cs="Helvetica"/>
        </w:rPr>
        <w:t xml:space="preserve"> </w:t>
      </w:r>
      <w:r w:rsidR="00140A36" w:rsidRPr="0069787F">
        <w:rPr>
          <w:rFonts w:cs="Helvetica"/>
        </w:rPr>
        <w:t>should be addressed to:</w:t>
      </w:r>
    </w:p>
    <w:p w14:paraId="0B9DB0A1" w14:textId="77777777" w:rsidR="009A4C88" w:rsidRPr="0069787F" w:rsidRDefault="009A4C88" w:rsidP="00140A36">
      <w:pPr>
        <w:autoSpaceDE w:val="0"/>
        <w:autoSpaceDN w:val="0"/>
        <w:adjustRightInd w:val="0"/>
        <w:spacing w:after="0" w:line="240" w:lineRule="auto"/>
        <w:rPr>
          <w:rFonts w:cs="Helvetica"/>
        </w:rPr>
      </w:pPr>
    </w:p>
    <w:p w14:paraId="3B8DCC22" w14:textId="77777777" w:rsidR="009A4C88" w:rsidRPr="0069787F" w:rsidRDefault="009A4C88" w:rsidP="009A4C88">
      <w:pPr>
        <w:autoSpaceDE w:val="0"/>
        <w:autoSpaceDN w:val="0"/>
        <w:adjustRightInd w:val="0"/>
        <w:spacing w:after="0" w:line="240" w:lineRule="auto"/>
        <w:rPr>
          <w:rFonts w:cs="Helvetica"/>
        </w:rPr>
      </w:pPr>
      <w:r w:rsidRPr="0069787F">
        <w:rPr>
          <w:rFonts w:cs="Helvetica"/>
        </w:rPr>
        <w:t>Electricity Operations Manager</w:t>
      </w:r>
    </w:p>
    <w:p w14:paraId="49DCFE4E" w14:textId="77777777" w:rsidR="00B9149E" w:rsidRPr="0069787F" w:rsidRDefault="00B9149E" w:rsidP="00B9149E">
      <w:pPr>
        <w:autoSpaceDE w:val="0"/>
        <w:autoSpaceDN w:val="0"/>
        <w:adjustRightInd w:val="0"/>
        <w:spacing w:after="0" w:line="240" w:lineRule="auto"/>
        <w:rPr>
          <w:rFonts w:cs="Helvetica"/>
        </w:rPr>
      </w:pPr>
      <w:r w:rsidRPr="0069787F">
        <w:rPr>
          <w:rFonts w:cs="Helvetica"/>
        </w:rPr>
        <w:t>Harlaxton Energy Networks</w:t>
      </w:r>
      <w:r w:rsidR="00E16BF3">
        <w:rPr>
          <w:rFonts w:cs="Helvetica"/>
        </w:rPr>
        <w:t xml:space="preserve"> Limited</w:t>
      </w:r>
    </w:p>
    <w:p w14:paraId="3E14DAE4" w14:textId="60E28EBB" w:rsidR="009A4C88" w:rsidRPr="0069787F" w:rsidRDefault="00F11159" w:rsidP="009A4C88">
      <w:pPr>
        <w:autoSpaceDE w:val="0"/>
        <w:autoSpaceDN w:val="0"/>
        <w:adjustRightInd w:val="0"/>
        <w:spacing w:after="0" w:line="240" w:lineRule="auto"/>
        <w:rPr>
          <w:rFonts w:cs="Helvetica"/>
        </w:rPr>
      </w:pPr>
      <w:r>
        <w:rPr>
          <w:rFonts w:cs="Helvetica"/>
        </w:rPr>
        <w:t>Toll Bar Road</w:t>
      </w:r>
    </w:p>
    <w:p w14:paraId="411E2D87" w14:textId="50E07E15" w:rsidR="009A4C88" w:rsidRPr="0069787F" w:rsidRDefault="00F11159" w:rsidP="009A4C88">
      <w:pPr>
        <w:autoSpaceDE w:val="0"/>
        <w:autoSpaceDN w:val="0"/>
        <w:adjustRightInd w:val="0"/>
        <w:spacing w:after="0" w:line="240" w:lineRule="auto"/>
        <w:rPr>
          <w:rFonts w:cs="Helvetica"/>
        </w:rPr>
      </w:pPr>
      <w:r>
        <w:rPr>
          <w:rFonts w:cs="Helvetica"/>
        </w:rPr>
        <w:t>Marston</w:t>
      </w:r>
    </w:p>
    <w:p w14:paraId="3DC55F92" w14:textId="77777777" w:rsidR="009A4C88" w:rsidRPr="0069787F" w:rsidRDefault="00B9149E" w:rsidP="009A4C88">
      <w:pPr>
        <w:autoSpaceDE w:val="0"/>
        <w:autoSpaceDN w:val="0"/>
        <w:adjustRightInd w:val="0"/>
        <w:spacing w:after="0" w:line="240" w:lineRule="auto"/>
        <w:rPr>
          <w:rFonts w:cs="Helvetica"/>
        </w:rPr>
      </w:pPr>
      <w:r w:rsidRPr="0069787F">
        <w:rPr>
          <w:rFonts w:cs="Helvetica"/>
        </w:rPr>
        <w:t>Grantham</w:t>
      </w:r>
    </w:p>
    <w:p w14:paraId="57F04179" w14:textId="77777777" w:rsidR="009A4C88" w:rsidRPr="0069787F" w:rsidRDefault="00B9149E" w:rsidP="009A4C88">
      <w:pPr>
        <w:autoSpaceDE w:val="0"/>
        <w:autoSpaceDN w:val="0"/>
        <w:adjustRightInd w:val="0"/>
        <w:spacing w:after="0" w:line="240" w:lineRule="auto"/>
        <w:rPr>
          <w:rFonts w:cs="Helvetica"/>
        </w:rPr>
      </w:pPr>
      <w:r w:rsidRPr="0069787F">
        <w:rPr>
          <w:rFonts w:cs="Helvetica"/>
        </w:rPr>
        <w:t>Lincolnshire</w:t>
      </w:r>
    </w:p>
    <w:p w14:paraId="370CAC34" w14:textId="5CCE1157" w:rsidR="009A4C88" w:rsidRPr="0069787F" w:rsidRDefault="00F11159" w:rsidP="009A4C88">
      <w:pPr>
        <w:autoSpaceDE w:val="0"/>
        <w:autoSpaceDN w:val="0"/>
        <w:adjustRightInd w:val="0"/>
        <w:spacing w:after="0" w:line="240" w:lineRule="auto"/>
        <w:rPr>
          <w:rFonts w:cs="Helvetica"/>
        </w:rPr>
      </w:pPr>
      <w:r>
        <w:rPr>
          <w:rFonts w:cs="Helvetica"/>
        </w:rPr>
        <w:t>NG32 2HT</w:t>
      </w:r>
    </w:p>
    <w:p w14:paraId="7C371A48" w14:textId="77777777" w:rsidR="009A4C88" w:rsidRPr="0069787F" w:rsidRDefault="00B9149E" w:rsidP="009A4C88">
      <w:pPr>
        <w:autoSpaceDE w:val="0"/>
        <w:autoSpaceDN w:val="0"/>
        <w:adjustRightInd w:val="0"/>
        <w:spacing w:after="0" w:line="240" w:lineRule="auto"/>
        <w:rPr>
          <w:rFonts w:cs="Helvetica"/>
        </w:rPr>
      </w:pPr>
      <w:r w:rsidRPr="0069787F">
        <w:rPr>
          <w:rFonts w:cs="Helvetica"/>
        </w:rPr>
        <w:t>Tel: +44 (0) 844 800 1813</w:t>
      </w:r>
    </w:p>
    <w:p w14:paraId="68F842BA" w14:textId="77777777" w:rsidR="009A4C88" w:rsidRPr="0069787F" w:rsidRDefault="00B9149E" w:rsidP="009A4C88">
      <w:pPr>
        <w:autoSpaceDE w:val="0"/>
        <w:autoSpaceDN w:val="0"/>
        <w:adjustRightInd w:val="0"/>
        <w:spacing w:after="0" w:line="240" w:lineRule="auto"/>
        <w:rPr>
          <w:rFonts w:cs="Helvetica"/>
        </w:rPr>
      </w:pPr>
      <w:r w:rsidRPr="0069787F">
        <w:rPr>
          <w:rFonts w:cs="Helvetica"/>
        </w:rPr>
        <w:t xml:space="preserve">Email: </w:t>
      </w:r>
      <w:hyperlink r:id="rId9" w:history="1">
        <w:r w:rsidR="008A2085" w:rsidRPr="0069787F">
          <w:rPr>
            <w:rStyle w:val="Hyperlink"/>
            <w:rFonts w:cs="Helvetica"/>
          </w:rPr>
          <w:t>info@harlaxtonenergynetworks.com</w:t>
        </w:r>
      </w:hyperlink>
      <w:r w:rsidRPr="0069787F">
        <w:rPr>
          <w:rFonts w:cs="Helvetica"/>
        </w:rPr>
        <w:t xml:space="preserve"> </w:t>
      </w:r>
    </w:p>
    <w:p w14:paraId="1724BC1B" w14:textId="77777777" w:rsidR="009A4C88" w:rsidRPr="0069787F" w:rsidRDefault="009A4C88" w:rsidP="009A4C88">
      <w:pPr>
        <w:autoSpaceDE w:val="0"/>
        <w:autoSpaceDN w:val="0"/>
        <w:adjustRightInd w:val="0"/>
        <w:spacing w:after="0" w:line="240" w:lineRule="auto"/>
        <w:rPr>
          <w:rFonts w:cs="Helvetica"/>
        </w:rPr>
      </w:pPr>
    </w:p>
    <w:p w14:paraId="775105D0" w14:textId="77777777" w:rsidR="00B9149E" w:rsidRPr="0069787F" w:rsidRDefault="00377F62" w:rsidP="00B9149E">
      <w:pPr>
        <w:autoSpaceDE w:val="0"/>
        <w:autoSpaceDN w:val="0"/>
        <w:adjustRightInd w:val="0"/>
        <w:spacing w:after="0" w:line="240" w:lineRule="auto"/>
        <w:rPr>
          <w:rFonts w:cs="Helvetica"/>
          <w:color w:val="000000"/>
        </w:rPr>
      </w:pPr>
      <w:r>
        <w:rPr>
          <w:rFonts w:cs="Helvetica"/>
          <w:color w:val="000000"/>
        </w:rPr>
        <w:t>1.18</w:t>
      </w:r>
      <w:r w:rsidR="00DB0C65">
        <w:rPr>
          <w:rFonts w:cs="Helvetica"/>
          <w:color w:val="000000"/>
        </w:rPr>
        <w:t xml:space="preserve">. </w:t>
      </w:r>
      <w:r w:rsidR="00B9149E" w:rsidRPr="0069787F">
        <w:rPr>
          <w:rFonts w:cs="Helvetica"/>
          <w:color w:val="000000"/>
        </w:rPr>
        <w:t>For all other queries please contact our general enquiries telephone service on +44 (0) 844 800 1813 lines are open 08:00 to 18:00 Monday to Friday</w:t>
      </w:r>
      <w:r w:rsidR="00393A28" w:rsidRPr="0069787F">
        <w:rPr>
          <w:rFonts w:cs="Helvetica"/>
          <w:color w:val="000000"/>
        </w:rPr>
        <w:t>.</w:t>
      </w:r>
    </w:p>
    <w:p w14:paraId="7A58EAA1" w14:textId="77777777" w:rsidR="00B9149E" w:rsidRPr="0069787F" w:rsidRDefault="00B9149E" w:rsidP="00B9149E">
      <w:pPr>
        <w:autoSpaceDE w:val="0"/>
        <w:autoSpaceDN w:val="0"/>
        <w:adjustRightInd w:val="0"/>
        <w:spacing w:after="0" w:line="240" w:lineRule="auto"/>
        <w:rPr>
          <w:rFonts w:cs="Helvetica"/>
          <w:color w:val="000000"/>
        </w:rPr>
      </w:pPr>
    </w:p>
    <w:p w14:paraId="402E1C3F" w14:textId="77777777" w:rsidR="008D0F41" w:rsidRDefault="008D0F41" w:rsidP="00B9149E">
      <w:pPr>
        <w:autoSpaceDE w:val="0"/>
        <w:autoSpaceDN w:val="0"/>
        <w:adjustRightInd w:val="0"/>
        <w:spacing w:after="0" w:line="240" w:lineRule="auto"/>
        <w:rPr>
          <w:rFonts w:cs="Helvetica"/>
          <w:color w:val="000000"/>
        </w:rPr>
      </w:pPr>
    </w:p>
    <w:p w14:paraId="43FE7D2B" w14:textId="77777777" w:rsidR="00377F62" w:rsidRDefault="00377F62" w:rsidP="00377F62">
      <w:pPr>
        <w:pStyle w:val="Subtitle"/>
        <w:rPr>
          <w:sz w:val="24"/>
          <w:u w:val="single"/>
        </w:rPr>
      </w:pPr>
      <w:r>
        <w:rPr>
          <w:sz w:val="24"/>
          <w:u w:val="single"/>
        </w:rPr>
        <w:t>Identification of the Host DNO Area</w:t>
      </w:r>
    </w:p>
    <w:p w14:paraId="1514C420" w14:textId="2A36398C" w:rsidR="00377F62" w:rsidRPr="00377F62" w:rsidRDefault="00377F62" w:rsidP="00377F62">
      <w:pPr>
        <w:rPr>
          <w:sz w:val="20"/>
        </w:rPr>
      </w:pPr>
      <w:r>
        <w:t>1.19 Many of our use of system charges vary between the 14 DNO areas in England, Wales or Scotland</w:t>
      </w:r>
      <w:r w:rsidR="00632ACD">
        <w:t xml:space="preserve">. </w:t>
      </w:r>
      <w:r>
        <w:t>This is necessary because of condition BA2 of our licence and because of differences in the upstream charges that we are subject to.</w:t>
      </w:r>
    </w:p>
    <w:p w14:paraId="58B4A982" w14:textId="2FDC2657" w:rsidR="00377F62" w:rsidRDefault="00377F62" w:rsidP="00377F62">
      <w:pPr>
        <w:pStyle w:val="Text"/>
        <w:tabs>
          <w:tab w:val="clear" w:pos="720"/>
        </w:tabs>
        <w:ind w:left="0" w:firstLine="0"/>
        <w:rPr>
          <w:rFonts w:asciiTheme="minorHAnsi" w:hAnsiTheme="minorHAnsi"/>
          <w:sz w:val="22"/>
        </w:rPr>
      </w:pPr>
      <w:r w:rsidRPr="00377F62">
        <w:rPr>
          <w:rFonts w:asciiTheme="minorHAnsi" w:hAnsiTheme="minorHAnsi"/>
          <w:sz w:val="22"/>
        </w:rPr>
        <w:t>1.20 We use the phrase “Host DNO Area” to refer to the DNO area relevant to the calculation of each tariff</w:t>
      </w:r>
      <w:r w:rsidR="00632ACD">
        <w:rPr>
          <w:rFonts w:asciiTheme="minorHAnsi" w:hAnsiTheme="minorHAnsi"/>
          <w:sz w:val="22"/>
        </w:rPr>
        <w:t xml:space="preserve">. </w:t>
      </w:r>
      <w:r w:rsidRPr="00377F62">
        <w:rPr>
          <w:rFonts w:asciiTheme="minorHAnsi" w:hAnsiTheme="minorHAnsi"/>
          <w:sz w:val="22"/>
        </w:rPr>
        <w:t>The Host DNO Area is determined as follows:</w:t>
      </w:r>
    </w:p>
    <w:p w14:paraId="25D7CEAC" w14:textId="77777777" w:rsidR="00377F62" w:rsidRPr="00377F62" w:rsidRDefault="00377F62" w:rsidP="00377F62">
      <w:pPr>
        <w:pStyle w:val="Text"/>
        <w:numPr>
          <w:ilvl w:val="2"/>
          <w:numId w:val="18"/>
        </w:numPr>
        <w:rPr>
          <w:rFonts w:asciiTheme="minorHAnsi" w:hAnsiTheme="minorHAnsi"/>
          <w:sz w:val="22"/>
        </w:rPr>
      </w:pPr>
      <w:r w:rsidRPr="00377F62">
        <w:rPr>
          <w:rFonts w:asciiTheme="minorHAnsi" w:hAnsiTheme="minorHAnsi"/>
          <w:sz w:val="22"/>
        </w:rPr>
        <w:t>For a Domestic Customer, the Host DNO Area is the Distribution Services Area containing the location at which the customer is connected to our system.</w:t>
      </w:r>
    </w:p>
    <w:p w14:paraId="63206C48" w14:textId="77777777" w:rsidR="00377F62" w:rsidRPr="00377F62" w:rsidRDefault="00377F62" w:rsidP="00377F62">
      <w:pPr>
        <w:pStyle w:val="Text"/>
        <w:numPr>
          <w:ilvl w:val="2"/>
          <w:numId w:val="18"/>
        </w:numPr>
        <w:rPr>
          <w:rFonts w:asciiTheme="minorHAnsi" w:hAnsiTheme="minorHAnsi"/>
          <w:sz w:val="22"/>
        </w:rPr>
      </w:pPr>
      <w:r w:rsidRPr="00377F62">
        <w:rPr>
          <w:rFonts w:asciiTheme="minorHAnsi" w:hAnsiTheme="minorHAnsi"/>
          <w:sz w:val="22"/>
        </w:rPr>
        <w:t>Otherwise, the Host DNO Area is the Distribution Services Area of the Distribution Services Provider (regional DNO) which provides the main supply into the relevant section of our system, if any.</w:t>
      </w:r>
    </w:p>
    <w:p w14:paraId="6DE6F127" w14:textId="77777777" w:rsidR="00377F62" w:rsidRPr="00377F62" w:rsidRDefault="00377F62" w:rsidP="00377F62">
      <w:pPr>
        <w:pStyle w:val="Text"/>
        <w:numPr>
          <w:ilvl w:val="2"/>
          <w:numId w:val="18"/>
        </w:numPr>
        <w:rPr>
          <w:rFonts w:asciiTheme="minorHAnsi" w:hAnsiTheme="minorHAnsi"/>
          <w:sz w:val="22"/>
        </w:rPr>
      </w:pPr>
      <w:r w:rsidRPr="00377F62">
        <w:rPr>
          <w:rFonts w:asciiTheme="minorHAnsi" w:hAnsiTheme="minorHAnsi"/>
          <w:sz w:val="22"/>
        </w:rPr>
        <w:t>If the main supply into the relevant section of our system does not come from a Distribution Services Provider (e.g. it our system is fed directly from the transmission network), then the Host DNO Area is the Distribution Services Area corresponding to the relevant GSP Group.</w:t>
      </w:r>
    </w:p>
    <w:p w14:paraId="4FBE4DB1" w14:textId="77777777" w:rsidR="00377F62" w:rsidRPr="00377F62" w:rsidRDefault="00377F62" w:rsidP="00377F62">
      <w:pPr>
        <w:pStyle w:val="Text"/>
        <w:tabs>
          <w:tab w:val="clear" w:pos="720"/>
        </w:tabs>
        <w:ind w:left="0" w:firstLine="0"/>
        <w:rPr>
          <w:rFonts w:asciiTheme="minorHAnsi" w:hAnsiTheme="minorHAnsi"/>
          <w:sz w:val="22"/>
        </w:rPr>
      </w:pPr>
    </w:p>
    <w:p w14:paraId="52B76820" w14:textId="77777777" w:rsidR="00377F62" w:rsidRPr="00377F62" w:rsidRDefault="00377F62" w:rsidP="00377F62"/>
    <w:p w14:paraId="612271E2" w14:textId="7A91FF7A" w:rsidR="00140A36" w:rsidRDefault="00B9149E" w:rsidP="00A36FFD">
      <w:pPr>
        <w:pStyle w:val="Heading1"/>
        <w:rPr>
          <w:u w:val="single"/>
        </w:rPr>
      </w:pPr>
      <w:bookmarkStart w:id="2" w:name="_Toc426117205"/>
      <w:r>
        <w:lastRenderedPageBreak/>
        <w:t>2.</w:t>
      </w:r>
      <w:r>
        <w:tab/>
      </w:r>
      <w:r w:rsidR="00992381">
        <w:rPr>
          <w:u w:val="single"/>
        </w:rPr>
        <w:t>A</w:t>
      </w:r>
      <w:r w:rsidR="00140A36" w:rsidRPr="00443EAF">
        <w:rPr>
          <w:u w:val="single"/>
        </w:rPr>
        <w:t xml:space="preserve">pplication </w:t>
      </w:r>
      <w:r w:rsidR="00992381">
        <w:rPr>
          <w:u w:val="single"/>
        </w:rPr>
        <w:t>and Determination of Charges</w:t>
      </w:r>
      <w:bookmarkEnd w:id="2"/>
    </w:p>
    <w:p w14:paraId="0177D847" w14:textId="77777777" w:rsidR="00CD6D42" w:rsidRPr="00CD6D42" w:rsidRDefault="00CD6D42" w:rsidP="00CD6D42">
      <w:pPr>
        <w:autoSpaceDE w:val="0"/>
        <w:autoSpaceDN w:val="0"/>
        <w:adjustRightInd w:val="0"/>
        <w:spacing w:after="0" w:line="240" w:lineRule="auto"/>
        <w:rPr>
          <w:rFonts w:ascii="Tahoma" w:hAnsi="Tahoma" w:cs="Tahoma"/>
          <w:color w:val="000000"/>
          <w:sz w:val="24"/>
          <w:szCs w:val="24"/>
        </w:rPr>
      </w:pPr>
    </w:p>
    <w:p w14:paraId="6DB0C1DB" w14:textId="77777777" w:rsidR="00CD6D42" w:rsidRPr="00CD6D42" w:rsidRDefault="006B119E" w:rsidP="00CD6D42">
      <w:pPr>
        <w:autoSpaceDE w:val="0"/>
        <w:autoSpaceDN w:val="0"/>
        <w:adjustRightInd w:val="0"/>
        <w:spacing w:after="273" w:line="240" w:lineRule="auto"/>
        <w:rPr>
          <w:rFonts w:cs="Tahoma"/>
          <w:color w:val="000000"/>
        </w:rPr>
      </w:pPr>
      <w:r>
        <w:rPr>
          <w:rFonts w:cs="Tahoma"/>
          <w:color w:val="000000"/>
        </w:rPr>
        <w:t xml:space="preserve">2.1. </w:t>
      </w:r>
      <w:r w:rsidR="00CD6D42" w:rsidRPr="00CD6D42">
        <w:rPr>
          <w:rFonts w:cs="Tahoma"/>
          <w:color w:val="000000"/>
        </w:rPr>
        <w:t xml:space="preserve">The following section details how the charges in this statement are applied and billed to Users of our Distribution System. </w:t>
      </w:r>
    </w:p>
    <w:p w14:paraId="3109D2E4" w14:textId="77777777" w:rsidR="00CD6D42" w:rsidRDefault="006B119E" w:rsidP="00CD6D42">
      <w:pPr>
        <w:autoSpaceDE w:val="0"/>
        <w:autoSpaceDN w:val="0"/>
        <w:adjustRightInd w:val="0"/>
        <w:spacing w:after="273" w:line="240" w:lineRule="auto"/>
        <w:rPr>
          <w:rFonts w:cs="Tahoma"/>
          <w:color w:val="000000"/>
        </w:rPr>
      </w:pPr>
      <w:r>
        <w:rPr>
          <w:rFonts w:cs="Tahoma"/>
          <w:color w:val="000000"/>
        </w:rPr>
        <w:t xml:space="preserve">2.2. </w:t>
      </w:r>
      <w:r w:rsidR="00CD6D42" w:rsidRPr="00CD6D42">
        <w:rPr>
          <w:rFonts w:cs="Tahoma"/>
          <w:color w:val="000000"/>
        </w:rPr>
        <w:t>We utilise two billing approaches depending on the type of metering data received. The ‘Supercustomer’ approach is used for Non-Half-Hourly (NHH) metered, NHH unmetered or aggregated H</w:t>
      </w:r>
      <w:r w:rsidR="00D02BD7">
        <w:rPr>
          <w:rFonts w:cs="Tahoma"/>
          <w:color w:val="000000"/>
        </w:rPr>
        <w:t>alf-Hourly (HH) metered premises</w:t>
      </w:r>
      <w:r w:rsidR="00CD6D42" w:rsidRPr="00CD6D42">
        <w:rPr>
          <w:rFonts w:cs="Tahoma"/>
          <w:color w:val="000000"/>
        </w:rPr>
        <w:t xml:space="preserve">. The ‘Site-specific’ approach is used for </w:t>
      </w:r>
      <w:r w:rsidR="00D02BD7">
        <w:rPr>
          <w:rFonts w:cs="Tahoma"/>
          <w:color w:val="000000"/>
        </w:rPr>
        <w:t xml:space="preserve">other </w:t>
      </w:r>
      <w:r w:rsidR="00CD6D42" w:rsidRPr="00CD6D42">
        <w:rPr>
          <w:rFonts w:cs="Tahoma"/>
          <w:color w:val="000000"/>
        </w:rPr>
        <w:t xml:space="preserve">HH metered or pseudo HH unmetered premises. </w:t>
      </w:r>
    </w:p>
    <w:p w14:paraId="60EC3C3C" w14:textId="77777777" w:rsidR="00CD6D42" w:rsidRPr="00CD6D42" w:rsidRDefault="006B119E" w:rsidP="00CD6D42">
      <w:pPr>
        <w:autoSpaceDE w:val="0"/>
        <w:autoSpaceDN w:val="0"/>
        <w:adjustRightInd w:val="0"/>
        <w:spacing w:after="0" w:line="240" w:lineRule="auto"/>
        <w:rPr>
          <w:rFonts w:cs="Tahoma"/>
          <w:color w:val="000000"/>
        </w:rPr>
      </w:pPr>
      <w:r>
        <w:rPr>
          <w:rFonts w:cs="Tahoma"/>
          <w:color w:val="000000"/>
        </w:rPr>
        <w:t xml:space="preserve">2.3. </w:t>
      </w:r>
      <w:r w:rsidR="00CD6D42" w:rsidRPr="00CD6D42">
        <w:rPr>
          <w:rFonts w:cs="Tahoma"/>
          <w:color w:val="000000"/>
        </w:rPr>
        <w:t xml:space="preserve">Typically NHH metered premises are domestic and small businesses, whilst HH metered premises are larger businesses. Unmetered premises are normally streetlights. </w:t>
      </w:r>
    </w:p>
    <w:p w14:paraId="61CFA79B" w14:textId="77777777" w:rsidR="00CD6D42" w:rsidRDefault="00CD6D42" w:rsidP="00186B63">
      <w:pPr>
        <w:spacing w:after="0" w:line="240" w:lineRule="auto"/>
        <w:rPr>
          <w:rFonts w:ascii="Book Antiqua" w:hAnsi="Book Antiqua" w:cs="Helvetica-Bold"/>
          <w:bCs/>
          <w:color w:val="000000"/>
        </w:rPr>
      </w:pPr>
    </w:p>
    <w:p w14:paraId="765DCF08" w14:textId="77777777" w:rsidR="00CE4C73" w:rsidRPr="00443EAF" w:rsidRDefault="00140A36" w:rsidP="00A36FFD">
      <w:pPr>
        <w:pStyle w:val="Subtitle"/>
        <w:rPr>
          <w:sz w:val="24"/>
          <w:u w:val="single"/>
        </w:rPr>
      </w:pPr>
      <w:r w:rsidRPr="00443EAF">
        <w:rPr>
          <w:sz w:val="24"/>
          <w:u w:val="single"/>
        </w:rPr>
        <w:t>Supercustomer Billing and Payment</w:t>
      </w:r>
    </w:p>
    <w:p w14:paraId="07DC4B10"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2.4. </w:t>
      </w:r>
      <w:r w:rsidR="00140A36" w:rsidRPr="0069787F">
        <w:rPr>
          <w:rFonts w:cs="Helvetica"/>
          <w:color w:val="000000"/>
          <w:szCs w:val="20"/>
        </w:rPr>
        <w:t>Supercustomer billing and payment applies to Metering Points registered as Non-Half</w:t>
      </w:r>
      <w:r w:rsidR="00D02BD7">
        <w:rPr>
          <w:rFonts w:cs="Helvetica"/>
          <w:color w:val="000000"/>
          <w:szCs w:val="20"/>
        </w:rPr>
        <w:t xml:space="preserve">-Hourly (NHH) metered, </w:t>
      </w:r>
      <w:r w:rsidR="00D02BD7" w:rsidRPr="00CD6D42">
        <w:rPr>
          <w:rFonts w:cs="Tahoma"/>
          <w:color w:val="000000"/>
        </w:rPr>
        <w:t>NHH unmetered or aggregated H</w:t>
      </w:r>
      <w:r w:rsidR="00D02BD7">
        <w:rPr>
          <w:rFonts w:cs="Tahoma"/>
          <w:color w:val="000000"/>
        </w:rPr>
        <w:t>alf-Hourly metered premises</w:t>
      </w:r>
      <w:r w:rsidR="00140A36" w:rsidRPr="0069787F">
        <w:rPr>
          <w:rFonts w:cs="Helvetica"/>
          <w:color w:val="000000"/>
          <w:szCs w:val="20"/>
        </w:rPr>
        <w:t>. The Supercustomer approach makes use of</w:t>
      </w:r>
      <w:r w:rsidR="00B9149E" w:rsidRPr="0069787F">
        <w:rPr>
          <w:rFonts w:cs="Helvetica"/>
          <w:color w:val="000000"/>
          <w:szCs w:val="20"/>
        </w:rPr>
        <w:t xml:space="preserve"> </w:t>
      </w:r>
      <w:r w:rsidR="00140A36" w:rsidRPr="0069787F">
        <w:rPr>
          <w:rFonts w:cs="Helvetica"/>
          <w:color w:val="000000"/>
          <w:szCs w:val="20"/>
        </w:rPr>
        <w:t>aggregated data obtained from the ‘Supercustomer Distribution Use of System (DUoS)</w:t>
      </w:r>
      <w:r w:rsidR="00B9149E" w:rsidRPr="0069787F">
        <w:rPr>
          <w:rFonts w:cs="Helvetica"/>
          <w:color w:val="000000"/>
          <w:szCs w:val="20"/>
        </w:rPr>
        <w:t xml:space="preserve"> </w:t>
      </w:r>
      <w:r w:rsidR="00140A36" w:rsidRPr="0069787F">
        <w:rPr>
          <w:rFonts w:cs="Helvetica"/>
          <w:color w:val="000000"/>
          <w:szCs w:val="20"/>
        </w:rPr>
        <w:t>Report’.</w:t>
      </w:r>
    </w:p>
    <w:p w14:paraId="293860AF" w14:textId="77777777" w:rsidR="00186B63" w:rsidRPr="0069787F" w:rsidRDefault="00186B63" w:rsidP="00140A36">
      <w:pPr>
        <w:autoSpaceDE w:val="0"/>
        <w:autoSpaceDN w:val="0"/>
        <w:adjustRightInd w:val="0"/>
        <w:spacing w:after="0" w:line="240" w:lineRule="auto"/>
        <w:rPr>
          <w:rFonts w:cs="Helvetica"/>
          <w:color w:val="000000"/>
          <w:szCs w:val="20"/>
        </w:rPr>
      </w:pPr>
    </w:p>
    <w:p w14:paraId="72E1D211"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2.5. </w:t>
      </w:r>
      <w:r w:rsidR="00140A36" w:rsidRPr="0069787F">
        <w:rPr>
          <w:rFonts w:cs="Helvetica"/>
          <w:color w:val="000000"/>
          <w:szCs w:val="20"/>
        </w:rPr>
        <w:t>Invoices are calculated on a periodic basis an</w:t>
      </w:r>
      <w:r w:rsidR="0055670D" w:rsidRPr="0069787F">
        <w:rPr>
          <w:rFonts w:cs="Helvetica"/>
          <w:color w:val="000000"/>
          <w:szCs w:val="20"/>
        </w:rPr>
        <w:t xml:space="preserve">d sent to each User for whom Harlaxton Energy Networks is </w:t>
      </w:r>
      <w:r w:rsidR="00140A36" w:rsidRPr="0069787F">
        <w:rPr>
          <w:rFonts w:cs="Helvetica"/>
          <w:color w:val="000000"/>
          <w:szCs w:val="20"/>
        </w:rPr>
        <w:t>transporting electricity through its Distribution System. Invoices are reconciled, over a</w:t>
      </w:r>
      <w:r w:rsidR="0055670D" w:rsidRPr="0069787F">
        <w:rPr>
          <w:rFonts w:cs="Helvetica"/>
          <w:color w:val="000000"/>
          <w:szCs w:val="20"/>
        </w:rPr>
        <w:t xml:space="preserve"> </w:t>
      </w:r>
      <w:r w:rsidR="00140A36" w:rsidRPr="0069787F">
        <w:rPr>
          <w:rFonts w:cs="Helvetica"/>
          <w:color w:val="000000"/>
          <w:szCs w:val="20"/>
        </w:rPr>
        <w:t xml:space="preserve">period of </w:t>
      </w:r>
      <w:r w:rsidR="0055670D" w:rsidRPr="0069787F">
        <w:rPr>
          <w:rFonts w:cs="Helvetica"/>
          <w:color w:val="000000"/>
          <w:szCs w:val="20"/>
        </w:rPr>
        <w:t>a</w:t>
      </w:r>
      <w:r w:rsidR="00140A36" w:rsidRPr="0069787F">
        <w:rPr>
          <w:rFonts w:cs="Helvetica"/>
          <w:color w:val="000000"/>
          <w:szCs w:val="20"/>
        </w:rPr>
        <w:t xml:space="preserve">pproximately 14 months, to ensure the cash positions of Users and </w:t>
      </w:r>
      <w:r w:rsidR="00A55B71" w:rsidRPr="0069787F">
        <w:rPr>
          <w:rFonts w:cs="Helvetica"/>
          <w:color w:val="000000"/>
          <w:szCs w:val="20"/>
        </w:rPr>
        <w:t xml:space="preserve">Harlaxton </w:t>
      </w:r>
      <w:r w:rsidR="0055670D" w:rsidRPr="0069787F">
        <w:rPr>
          <w:rFonts w:cs="Helvetica"/>
          <w:color w:val="000000"/>
          <w:szCs w:val="20"/>
        </w:rPr>
        <w:t xml:space="preserve">Energy Networks </w:t>
      </w:r>
      <w:r w:rsidR="00140A36" w:rsidRPr="0069787F">
        <w:rPr>
          <w:rFonts w:cs="Helvetica"/>
          <w:color w:val="000000"/>
          <w:szCs w:val="20"/>
        </w:rPr>
        <w:t>are</w:t>
      </w:r>
      <w:r w:rsidR="0055670D" w:rsidRPr="0069787F">
        <w:rPr>
          <w:rFonts w:cs="Helvetica"/>
          <w:color w:val="000000"/>
          <w:szCs w:val="20"/>
        </w:rPr>
        <w:t xml:space="preserve"> </w:t>
      </w:r>
      <w:r w:rsidR="00140A36" w:rsidRPr="0069787F">
        <w:rPr>
          <w:rFonts w:cs="Helvetica"/>
          <w:color w:val="000000"/>
          <w:szCs w:val="20"/>
        </w:rPr>
        <w:t>adjusted to reflect later and more accurate consumption figures.</w:t>
      </w:r>
    </w:p>
    <w:p w14:paraId="5C44D4BA" w14:textId="77777777" w:rsidR="00186B63" w:rsidRPr="0069787F" w:rsidRDefault="00186B63" w:rsidP="00140A36">
      <w:pPr>
        <w:autoSpaceDE w:val="0"/>
        <w:autoSpaceDN w:val="0"/>
        <w:adjustRightInd w:val="0"/>
        <w:spacing w:after="0" w:line="240" w:lineRule="auto"/>
        <w:rPr>
          <w:rFonts w:cs="Helvetica"/>
          <w:color w:val="000000"/>
          <w:szCs w:val="20"/>
        </w:rPr>
      </w:pPr>
    </w:p>
    <w:p w14:paraId="57A1DBD4" w14:textId="77777777" w:rsidR="0055670D" w:rsidRPr="0069787F" w:rsidRDefault="006B119E" w:rsidP="0055670D">
      <w:pPr>
        <w:autoSpaceDE w:val="0"/>
        <w:autoSpaceDN w:val="0"/>
        <w:adjustRightInd w:val="0"/>
        <w:spacing w:after="0" w:line="240" w:lineRule="auto"/>
        <w:rPr>
          <w:rFonts w:cs="Helvetica"/>
          <w:color w:val="000000"/>
          <w:szCs w:val="20"/>
        </w:rPr>
      </w:pPr>
      <w:r>
        <w:rPr>
          <w:rFonts w:cs="Helvetica"/>
          <w:color w:val="000000"/>
          <w:szCs w:val="20"/>
        </w:rPr>
        <w:t xml:space="preserve">2.6. </w:t>
      </w:r>
      <w:r w:rsidR="0055670D" w:rsidRPr="0069787F">
        <w:rPr>
          <w:rFonts w:cs="Helvetica"/>
          <w:color w:val="000000"/>
          <w:szCs w:val="20"/>
        </w:rPr>
        <w:t xml:space="preserve">The charges are applied on the basis of the Line Loss Factor Class (LLFC) assigned to a Meter Point Administration Number (MPAN), and the units consumed within the time periods specified in the statement. These time periods may not necessarily be the same as those indicated by the Time Pattern Regimes (TPRs) assigned to the Standard Settlement Configuration (SSC) – specific to Distribution Network Operators (DNOs). All LLFCs are assigned at the sole discretion of Harlaxton Energy Networks. </w:t>
      </w:r>
      <w:r w:rsidR="00785938" w:rsidRPr="0069787F">
        <w:rPr>
          <w:rFonts w:cs="Helvetica"/>
          <w:color w:val="000000"/>
          <w:szCs w:val="20"/>
        </w:rPr>
        <w:t>T</w:t>
      </w:r>
      <w:r w:rsidR="0055670D" w:rsidRPr="0069787F">
        <w:rPr>
          <w:rFonts w:cs="Helvetica"/>
          <w:color w:val="000000"/>
          <w:szCs w:val="20"/>
        </w:rPr>
        <w:t>he charges in this document are shown exclusive of VAT. Invoices take account of previous Settlement Runs and include VAT.</w:t>
      </w:r>
    </w:p>
    <w:p w14:paraId="777B424F" w14:textId="77777777" w:rsidR="00EB21B4" w:rsidRPr="00443EAF" w:rsidRDefault="00EB21B4" w:rsidP="00140A36">
      <w:pPr>
        <w:autoSpaceDE w:val="0"/>
        <w:autoSpaceDN w:val="0"/>
        <w:adjustRightInd w:val="0"/>
        <w:spacing w:after="0" w:line="240" w:lineRule="auto"/>
        <w:rPr>
          <w:rFonts w:ascii="Book Antiqua" w:hAnsi="Book Antiqua" w:cs="Helvetica"/>
          <w:color w:val="000000"/>
          <w:sz w:val="24"/>
          <w:szCs w:val="20"/>
        </w:rPr>
      </w:pPr>
    </w:p>
    <w:p w14:paraId="4EABB8ED" w14:textId="77777777" w:rsidR="00140A36" w:rsidRPr="009956AD" w:rsidRDefault="00140A36" w:rsidP="00A36FFD">
      <w:pPr>
        <w:pStyle w:val="Subtitle"/>
        <w:rPr>
          <w:color w:val="auto"/>
          <w:sz w:val="24"/>
          <w:u w:val="single"/>
        </w:rPr>
      </w:pPr>
      <w:r w:rsidRPr="009956AD">
        <w:rPr>
          <w:color w:val="auto"/>
          <w:sz w:val="24"/>
          <w:u w:val="single"/>
        </w:rPr>
        <w:t>Supercustomer Charges</w:t>
      </w:r>
    </w:p>
    <w:p w14:paraId="2CE2290D" w14:textId="77777777" w:rsidR="00140A36" w:rsidRPr="009956AD" w:rsidRDefault="006B119E" w:rsidP="00140A36">
      <w:pPr>
        <w:autoSpaceDE w:val="0"/>
        <w:autoSpaceDN w:val="0"/>
        <w:adjustRightInd w:val="0"/>
        <w:spacing w:after="0" w:line="240" w:lineRule="auto"/>
        <w:rPr>
          <w:rFonts w:cs="Helvetica"/>
        </w:rPr>
      </w:pPr>
      <w:r w:rsidRPr="009956AD">
        <w:rPr>
          <w:rFonts w:cs="Helvetica"/>
        </w:rPr>
        <w:t xml:space="preserve">2.7. </w:t>
      </w:r>
      <w:r w:rsidR="00140A36" w:rsidRPr="009956AD">
        <w:rPr>
          <w:rFonts w:cs="Helvetica"/>
        </w:rPr>
        <w:t>Supercustomer Charges are generally billed through the following components:</w:t>
      </w:r>
    </w:p>
    <w:p w14:paraId="7B4DA01A" w14:textId="77777777" w:rsidR="00140A36" w:rsidRPr="009956AD" w:rsidRDefault="00140A36" w:rsidP="0055670D">
      <w:pPr>
        <w:pStyle w:val="ListParagraph"/>
        <w:numPr>
          <w:ilvl w:val="0"/>
          <w:numId w:val="5"/>
        </w:numPr>
        <w:autoSpaceDE w:val="0"/>
        <w:autoSpaceDN w:val="0"/>
        <w:adjustRightInd w:val="0"/>
        <w:spacing w:after="0" w:line="240" w:lineRule="auto"/>
        <w:rPr>
          <w:rFonts w:cs="Helvetica"/>
        </w:rPr>
      </w:pPr>
      <w:r w:rsidRPr="009956AD">
        <w:rPr>
          <w:rFonts w:cs="Helvetica"/>
        </w:rPr>
        <w:t>A fixed charge - pence/MPAN/day; there will only be one fixed charge applied to each</w:t>
      </w:r>
      <w:r w:rsidR="0055670D" w:rsidRPr="009956AD">
        <w:rPr>
          <w:rFonts w:cs="Helvetica"/>
        </w:rPr>
        <w:t xml:space="preserve"> </w:t>
      </w:r>
      <w:r w:rsidRPr="009956AD">
        <w:rPr>
          <w:rFonts w:cs="Helvetica"/>
        </w:rPr>
        <w:t>MPAN; and</w:t>
      </w:r>
    </w:p>
    <w:p w14:paraId="6C03F11D" w14:textId="77777777" w:rsidR="00140A36" w:rsidRPr="009956AD" w:rsidRDefault="00140A36" w:rsidP="0055670D">
      <w:pPr>
        <w:pStyle w:val="ListParagraph"/>
        <w:numPr>
          <w:ilvl w:val="0"/>
          <w:numId w:val="5"/>
        </w:numPr>
        <w:autoSpaceDE w:val="0"/>
        <w:autoSpaceDN w:val="0"/>
        <w:adjustRightInd w:val="0"/>
        <w:spacing w:after="0" w:line="240" w:lineRule="auto"/>
        <w:rPr>
          <w:rFonts w:cs="Helvetica"/>
        </w:rPr>
      </w:pPr>
      <w:r w:rsidRPr="009956AD">
        <w:rPr>
          <w:rFonts w:cs="Helvetica"/>
        </w:rPr>
        <w:t>Unit charges - pence/kWh, more than one unit charge may be applied.</w:t>
      </w:r>
    </w:p>
    <w:p w14:paraId="6E45E67C" w14:textId="77777777" w:rsidR="00A55B71" w:rsidRPr="009956AD" w:rsidRDefault="00A55B71" w:rsidP="00140A36">
      <w:pPr>
        <w:autoSpaceDE w:val="0"/>
        <w:autoSpaceDN w:val="0"/>
        <w:adjustRightInd w:val="0"/>
        <w:spacing w:after="0" w:line="240" w:lineRule="auto"/>
        <w:rPr>
          <w:rFonts w:cs="Helvetica"/>
        </w:rPr>
      </w:pPr>
    </w:p>
    <w:p w14:paraId="0AA8141E" w14:textId="77777777" w:rsidR="00140A36" w:rsidRPr="009956AD" w:rsidRDefault="006B119E" w:rsidP="00140A36">
      <w:pPr>
        <w:autoSpaceDE w:val="0"/>
        <w:autoSpaceDN w:val="0"/>
        <w:adjustRightInd w:val="0"/>
        <w:spacing w:after="0" w:line="240" w:lineRule="auto"/>
        <w:rPr>
          <w:rFonts w:cs="Helvetica"/>
        </w:rPr>
      </w:pPr>
      <w:r w:rsidRPr="009956AD">
        <w:rPr>
          <w:rFonts w:cs="Helvetica"/>
        </w:rPr>
        <w:t xml:space="preserve">2.8. </w:t>
      </w:r>
      <w:r w:rsidR="00140A36" w:rsidRPr="009956AD">
        <w:rPr>
          <w:rFonts w:cs="Helvetica"/>
        </w:rPr>
        <w:t>Users who wish to supply electricity to Customers whose metering system is Measurement</w:t>
      </w:r>
      <w:r w:rsidR="0055670D" w:rsidRPr="009956AD">
        <w:rPr>
          <w:rFonts w:cs="Helvetica"/>
        </w:rPr>
        <w:t xml:space="preserve"> </w:t>
      </w:r>
      <w:r w:rsidR="00140A36" w:rsidRPr="009956AD">
        <w:rPr>
          <w:rFonts w:cs="Helvetica"/>
        </w:rPr>
        <w:t>Class A or B, and settled on Profile Class 1 through to 8 will be allocated the relevant</w:t>
      </w:r>
      <w:r w:rsidR="0055670D" w:rsidRPr="009956AD">
        <w:rPr>
          <w:rFonts w:cs="Helvetica"/>
        </w:rPr>
        <w:t xml:space="preserve"> </w:t>
      </w:r>
      <w:r w:rsidR="00140A36" w:rsidRPr="009956AD">
        <w:rPr>
          <w:rFonts w:cs="Helvetica"/>
        </w:rPr>
        <w:t>charge structure set out in Annex 1.</w:t>
      </w:r>
    </w:p>
    <w:p w14:paraId="6D187A1E" w14:textId="77777777" w:rsidR="00A55B71" w:rsidRPr="009956AD" w:rsidRDefault="00A55B71" w:rsidP="00140A36">
      <w:pPr>
        <w:autoSpaceDE w:val="0"/>
        <w:autoSpaceDN w:val="0"/>
        <w:adjustRightInd w:val="0"/>
        <w:spacing w:after="0" w:line="240" w:lineRule="auto"/>
        <w:rPr>
          <w:rFonts w:cs="Helvetica"/>
        </w:rPr>
      </w:pPr>
    </w:p>
    <w:p w14:paraId="5F11CC14" w14:textId="77777777" w:rsidR="00CB0F28" w:rsidRPr="009956AD" w:rsidRDefault="006B119E" w:rsidP="00140A36">
      <w:pPr>
        <w:autoSpaceDE w:val="0"/>
        <w:autoSpaceDN w:val="0"/>
        <w:adjustRightInd w:val="0"/>
        <w:spacing w:after="0" w:line="240" w:lineRule="auto"/>
        <w:rPr>
          <w:rFonts w:cs="Helvetica"/>
        </w:rPr>
      </w:pPr>
      <w:r w:rsidRPr="009956AD">
        <w:rPr>
          <w:rFonts w:cs="Helvetica"/>
        </w:rPr>
        <w:t xml:space="preserve">2.9. </w:t>
      </w:r>
      <w:r w:rsidR="00140A36" w:rsidRPr="009956AD">
        <w:rPr>
          <w:rFonts w:cs="Helvetica"/>
        </w:rPr>
        <w:t>Measurement Class A charges apply to exit/entry points where NHH metering is used for</w:t>
      </w:r>
      <w:r w:rsidR="0055670D" w:rsidRPr="009956AD">
        <w:rPr>
          <w:rFonts w:cs="Helvetica"/>
        </w:rPr>
        <w:t xml:space="preserve"> </w:t>
      </w:r>
      <w:r w:rsidR="00CB0F28" w:rsidRPr="009956AD">
        <w:rPr>
          <w:rFonts w:cs="Helvetica"/>
        </w:rPr>
        <w:t>settlement.</w:t>
      </w:r>
    </w:p>
    <w:p w14:paraId="48CF0CC8" w14:textId="77777777" w:rsidR="00CB0F28" w:rsidRPr="009956AD" w:rsidRDefault="00CB0F28" w:rsidP="00140A36">
      <w:pPr>
        <w:autoSpaceDE w:val="0"/>
        <w:autoSpaceDN w:val="0"/>
        <w:adjustRightInd w:val="0"/>
        <w:spacing w:after="0" w:line="240" w:lineRule="auto"/>
        <w:rPr>
          <w:rFonts w:cs="Helvetica"/>
        </w:rPr>
      </w:pPr>
    </w:p>
    <w:p w14:paraId="4A2A359D" w14:textId="77777777" w:rsidR="00140A36" w:rsidRPr="009956AD" w:rsidRDefault="006B119E" w:rsidP="00140A36">
      <w:pPr>
        <w:autoSpaceDE w:val="0"/>
        <w:autoSpaceDN w:val="0"/>
        <w:adjustRightInd w:val="0"/>
        <w:spacing w:after="0" w:line="240" w:lineRule="auto"/>
        <w:rPr>
          <w:rFonts w:cs="Helvetica"/>
        </w:rPr>
      </w:pPr>
      <w:r w:rsidRPr="009956AD">
        <w:rPr>
          <w:rFonts w:cs="Helvetica"/>
        </w:rPr>
        <w:t xml:space="preserve">2.10. </w:t>
      </w:r>
      <w:r w:rsidR="00140A36" w:rsidRPr="009956AD">
        <w:rPr>
          <w:rFonts w:cs="Helvetica"/>
        </w:rPr>
        <w:t>Measurement Class B charges apply to exit points deemed to be suitable as unmetered</w:t>
      </w:r>
      <w:r w:rsidR="0055670D" w:rsidRPr="009956AD">
        <w:rPr>
          <w:rFonts w:cs="Helvetica"/>
        </w:rPr>
        <w:t xml:space="preserve"> </w:t>
      </w:r>
      <w:r w:rsidR="00140A36" w:rsidRPr="009956AD">
        <w:rPr>
          <w:rFonts w:cs="Helvetica"/>
        </w:rPr>
        <w:t>supplies as permitted in the Electricity (Unmetered Supply) Regulations 2001</w:t>
      </w:r>
      <w:r w:rsidR="008930F1" w:rsidRPr="009956AD">
        <w:rPr>
          <w:rStyle w:val="FootnoteReference"/>
          <w:rFonts w:cs="Helvetica"/>
        </w:rPr>
        <w:footnoteReference w:id="3"/>
      </w:r>
      <w:r w:rsidR="00140A36" w:rsidRPr="009956AD">
        <w:rPr>
          <w:rFonts w:cs="Helvetica"/>
        </w:rPr>
        <w:t xml:space="preserve"> and where</w:t>
      </w:r>
      <w:r w:rsidR="0055670D" w:rsidRPr="009956AD">
        <w:rPr>
          <w:rFonts w:cs="Helvetica"/>
        </w:rPr>
        <w:t xml:space="preserve"> </w:t>
      </w:r>
      <w:r w:rsidR="00140A36" w:rsidRPr="009956AD">
        <w:rPr>
          <w:rFonts w:cs="Helvetica"/>
        </w:rPr>
        <w:t>oper</w:t>
      </w:r>
      <w:r w:rsidR="00393A28" w:rsidRPr="009956AD">
        <w:rPr>
          <w:rFonts w:cs="Helvetica"/>
        </w:rPr>
        <w:t>ated in accordance with BSCP520</w:t>
      </w:r>
      <w:r w:rsidR="008930F1" w:rsidRPr="009956AD">
        <w:rPr>
          <w:rStyle w:val="FootnoteReference"/>
          <w:rFonts w:cs="Helvetica"/>
        </w:rPr>
        <w:footnoteReference w:id="4"/>
      </w:r>
      <w:r w:rsidR="00393A28" w:rsidRPr="009956AD">
        <w:rPr>
          <w:rFonts w:cs="Helvetica"/>
        </w:rPr>
        <w:t>.</w:t>
      </w:r>
    </w:p>
    <w:p w14:paraId="5057A386" w14:textId="77777777" w:rsidR="00393A28" w:rsidRPr="009956AD" w:rsidRDefault="00393A28" w:rsidP="00140A36">
      <w:pPr>
        <w:autoSpaceDE w:val="0"/>
        <w:autoSpaceDN w:val="0"/>
        <w:adjustRightInd w:val="0"/>
        <w:spacing w:after="0" w:line="240" w:lineRule="auto"/>
        <w:rPr>
          <w:rFonts w:cs="Helvetica"/>
        </w:rPr>
      </w:pPr>
    </w:p>
    <w:p w14:paraId="4D291D34" w14:textId="1308B909" w:rsidR="00393A28" w:rsidRPr="009956AD" w:rsidRDefault="006B119E" w:rsidP="00140A36">
      <w:pPr>
        <w:autoSpaceDE w:val="0"/>
        <w:autoSpaceDN w:val="0"/>
        <w:adjustRightInd w:val="0"/>
        <w:spacing w:after="0" w:line="240" w:lineRule="auto"/>
        <w:rPr>
          <w:rFonts w:cs="Helvetica"/>
        </w:rPr>
      </w:pPr>
      <w:r w:rsidRPr="009956AD">
        <w:rPr>
          <w:rFonts w:cs="Helvetica"/>
        </w:rPr>
        <w:t xml:space="preserve">2.11. </w:t>
      </w:r>
      <w:r w:rsidR="00393A28" w:rsidRPr="009956AD">
        <w:rPr>
          <w:rFonts w:cs="Helvetica"/>
        </w:rPr>
        <w:t xml:space="preserve">Measurement class F and G </w:t>
      </w:r>
      <w:r w:rsidR="00997443" w:rsidRPr="009956AD">
        <w:rPr>
          <w:rFonts w:cs="Helvetica"/>
        </w:rPr>
        <w:t>charges</w:t>
      </w:r>
      <w:r w:rsidR="00393A28" w:rsidRPr="009956AD">
        <w:rPr>
          <w:rFonts w:cs="Helvetica"/>
        </w:rPr>
        <w:t xml:space="preserve"> apply to Exit / Entry Points where HH aggregated metering data is used for Settlement.</w:t>
      </w:r>
    </w:p>
    <w:p w14:paraId="3D521F58" w14:textId="77777777" w:rsidR="008D0F41" w:rsidRDefault="008D0F41" w:rsidP="00140A36">
      <w:pPr>
        <w:autoSpaceDE w:val="0"/>
        <w:autoSpaceDN w:val="0"/>
        <w:adjustRightInd w:val="0"/>
        <w:spacing w:after="0" w:line="240" w:lineRule="auto"/>
        <w:rPr>
          <w:rFonts w:cs="Helvetica"/>
          <w:color w:val="000000"/>
        </w:rPr>
      </w:pPr>
    </w:p>
    <w:p w14:paraId="12894970" w14:textId="77777777" w:rsidR="008930F1" w:rsidRDefault="008930F1" w:rsidP="00140A36">
      <w:pPr>
        <w:autoSpaceDE w:val="0"/>
        <w:autoSpaceDN w:val="0"/>
        <w:adjustRightInd w:val="0"/>
        <w:spacing w:after="0" w:line="240" w:lineRule="auto"/>
        <w:rPr>
          <w:rFonts w:cs="Helvetica"/>
          <w:color w:val="000000"/>
        </w:rPr>
      </w:pPr>
    </w:p>
    <w:p w14:paraId="37D318B1" w14:textId="77777777" w:rsidR="003A516A" w:rsidRDefault="003A516A" w:rsidP="00140A36">
      <w:pPr>
        <w:autoSpaceDE w:val="0"/>
        <w:autoSpaceDN w:val="0"/>
        <w:adjustRightInd w:val="0"/>
        <w:spacing w:after="0" w:line="240" w:lineRule="auto"/>
        <w:rPr>
          <w:rFonts w:ascii="Book Antiqua" w:hAnsi="Book Antiqua" w:cs="Helvetica"/>
          <w:sz w:val="16"/>
          <w:szCs w:val="16"/>
        </w:rPr>
      </w:pPr>
    </w:p>
    <w:p w14:paraId="65105A84" w14:textId="77777777" w:rsidR="003A516A" w:rsidRDefault="003A516A" w:rsidP="00140A36">
      <w:pPr>
        <w:autoSpaceDE w:val="0"/>
        <w:autoSpaceDN w:val="0"/>
        <w:adjustRightInd w:val="0"/>
        <w:spacing w:after="0" w:line="240" w:lineRule="auto"/>
        <w:rPr>
          <w:rFonts w:ascii="Book Antiqua" w:hAnsi="Book Antiqua" w:cs="Helvetica"/>
          <w:sz w:val="16"/>
          <w:szCs w:val="16"/>
        </w:rPr>
      </w:pPr>
    </w:p>
    <w:p w14:paraId="739ECD6C" w14:textId="77777777" w:rsidR="009715CB" w:rsidRDefault="009715CB" w:rsidP="00140A36">
      <w:pPr>
        <w:autoSpaceDE w:val="0"/>
        <w:autoSpaceDN w:val="0"/>
        <w:adjustRightInd w:val="0"/>
        <w:spacing w:after="0" w:line="240" w:lineRule="auto"/>
        <w:rPr>
          <w:rFonts w:ascii="Book Antiqua" w:hAnsi="Book Antiqua" w:cs="Helvetica"/>
          <w:sz w:val="16"/>
          <w:szCs w:val="16"/>
        </w:rPr>
      </w:pPr>
    </w:p>
    <w:p w14:paraId="2E3B9ABA" w14:textId="77777777" w:rsidR="009715CB" w:rsidRPr="00A067B0" w:rsidRDefault="009715CB" w:rsidP="00140A36">
      <w:pPr>
        <w:autoSpaceDE w:val="0"/>
        <w:autoSpaceDN w:val="0"/>
        <w:adjustRightInd w:val="0"/>
        <w:spacing w:after="0" w:line="240" w:lineRule="auto"/>
        <w:rPr>
          <w:rFonts w:ascii="Book Antiqua" w:hAnsi="Book Antiqua" w:cs="Helvetica"/>
          <w:sz w:val="16"/>
          <w:szCs w:val="16"/>
        </w:rPr>
      </w:pPr>
    </w:p>
    <w:p w14:paraId="3F6D7117" w14:textId="77777777"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2.12. </w:t>
      </w:r>
      <w:r w:rsidR="00140A36" w:rsidRPr="0069787F">
        <w:rPr>
          <w:rFonts w:cs="Helvetica"/>
          <w:color w:val="000000"/>
        </w:rPr>
        <w:t>Identification of the appropriate charge can be mad</w:t>
      </w:r>
      <w:r w:rsidR="00393A28" w:rsidRPr="0069787F">
        <w:rPr>
          <w:rFonts w:cs="Helvetica"/>
          <w:color w:val="000000"/>
        </w:rPr>
        <w:t xml:space="preserve">e by cross-reference to the Harlaxton Energy </w:t>
      </w:r>
      <w:r w:rsidR="00997443" w:rsidRPr="0069787F">
        <w:rPr>
          <w:rFonts w:cs="Helvetica"/>
          <w:color w:val="000000"/>
        </w:rPr>
        <w:t>Networks</w:t>
      </w:r>
      <w:r w:rsidR="00393A28" w:rsidRPr="0069787F">
        <w:rPr>
          <w:rFonts w:cs="Helvetica"/>
          <w:color w:val="000000"/>
        </w:rPr>
        <w:t xml:space="preserve"> Ltd Charge Code</w:t>
      </w:r>
      <w:r w:rsidR="00140A36" w:rsidRPr="0069787F">
        <w:rPr>
          <w:rFonts w:cs="Helvetica"/>
          <w:color w:val="000000"/>
        </w:rPr>
        <w:t>.</w:t>
      </w:r>
    </w:p>
    <w:p w14:paraId="649851DA" w14:textId="77777777" w:rsidR="00A55B71" w:rsidRPr="0069787F" w:rsidRDefault="00A55B71" w:rsidP="00140A36">
      <w:pPr>
        <w:autoSpaceDE w:val="0"/>
        <w:autoSpaceDN w:val="0"/>
        <w:adjustRightInd w:val="0"/>
        <w:spacing w:after="0" w:line="240" w:lineRule="auto"/>
        <w:rPr>
          <w:rFonts w:cs="Helvetica"/>
          <w:color w:val="000000"/>
        </w:rPr>
      </w:pPr>
    </w:p>
    <w:p w14:paraId="4288F183" w14:textId="77777777"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2.13. </w:t>
      </w:r>
      <w:r w:rsidR="00140A36" w:rsidRPr="0069787F">
        <w:rPr>
          <w:rFonts w:cs="Helvetica"/>
          <w:color w:val="000000"/>
        </w:rPr>
        <w:t>Valid Settlement Profile Class/Standard Settlement Configuration/Meter Timeswitch Code</w:t>
      </w:r>
      <w:r w:rsidR="0055670D" w:rsidRPr="0069787F">
        <w:rPr>
          <w:rFonts w:cs="Helvetica"/>
          <w:color w:val="000000"/>
        </w:rPr>
        <w:t xml:space="preserve"> </w:t>
      </w:r>
      <w:r w:rsidR="00140A36" w:rsidRPr="0069787F">
        <w:rPr>
          <w:rFonts w:cs="Helvetica"/>
          <w:color w:val="000000"/>
        </w:rPr>
        <w:t>(PC/SSC/MTC) combinations for these LLFCs are detailed in Market Domain Data (MDD).</w:t>
      </w:r>
    </w:p>
    <w:p w14:paraId="1AA5F5D9" w14:textId="77777777" w:rsidR="00393A28" w:rsidRPr="0069787F" w:rsidRDefault="00393A28" w:rsidP="00140A36">
      <w:pPr>
        <w:autoSpaceDE w:val="0"/>
        <w:autoSpaceDN w:val="0"/>
        <w:adjustRightInd w:val="0"/>
        <w:spacing w:after="0" w:line="240" w:lineRule="auto"/>
        <w:rPr>
          <w:rFonts w:cs="Helvetica"/>
          <w:color w:val="000000"/>
        </w:rPr>
      </w:pPr>
    </w:p>
    <w:p w14:paraId="6BD555B4" w14:textId="77777777"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2.14. </w:t>
      </w:r>
      <w:r w:rsidR="00140A36" w:rsidRPr="0069787F">
        <w:rPr>
          <w:rFonts w:cs="Helvetica"/>
          <w:color w:val="000000"/>
        </w:rPr>
        <w:t>Where an MPAN has an Invalid Settlement Combination, the ‘Domestic Unrestricted’ fixed</w:t>
      </w:r>
      <w:r w:rsidR="0055670D" w:rsidRPr="0069787F">
        <w:rPr>
          <w:rFonts w:cs="Helvetica"/>
          <w:color w:val="000000"/>
        </w:rPr>
        <w:t xml:space="preserve"> </w:t>
      </w:r>
      <w:r w:rsidR="00140A36" w:rsidRPr="0069787F">
        <w:rPr>
          <w:rFonts w:cs="Helvetica"/>
          <w:color w:val="000000"/>
        </w:rPr>
        <w:t>and unit charge will be applied as default until the invalid combination is corrected. Where</w:t>
      </w:r>
      <w:r w:rsidR="0055670D" w:rsidRPr="0069787F">
        <w:rPr>
          <w:rFonts w:cs="Helvetica"/>
          <w:color w:val="000000"/>
        </w:rPr>
        <w:t xml:space="preserve"> </w:t>
      </w:r>
      <w:r w:rsidR="00140A36" w:rsidRPr="0069787F">
        <w:rPr>
          <w:rFonts w:cs="Helvetica"/>
          <w:color w:val="000000"/>
        </w:rPr>
        <w:t>there are multiple SSC/TPR combinations, the default ‘Domestic Unrestricted’ fixed and unit</w:t>
      </w:r>
      <w:r w:rsidR="0055670D" w:rsidRPr="0069787F">
        <w:rPr>
          <w:rFonts w:cs="Helvetica"/>
          <w:color w:val="000000"/>
        </w:rPr>
        <w:t xml:space="preserve"> </w:t>
      </w:r>
      <w:r w:rsidR="00140A36" w:rsidRPr="0069787F">
        <w:rPr>
          <w:rFonts w:cs="Helvetica"/>
          <w:color w:val="000000"/>
        </w:rPr>
        <w:t>charge will be applied for each invalid TPR combination.</w:t>
      </w:r>
    </w:p>
    <w:p w14:paraId="7245CC5B" w14:textId="77777777" w:rsidR="00186B63" w:rsidRPr="0069787F" w:rsidRDefault="00186B63" w:rsidP="00140A36">
      <w:pPr>
        <w:autoSpaceDE w:val="0"/>
        <w:autoSpaceDN w:val="0"/>
        <w:adjustRightInd w:val="0"/>
        <w:spacing w:after="0" w:line="240" w:lineRule="auto"/>
        <w:rPr>
          <w:rFonts w:cs="Helvetica"/>
          <w:color w:val="000000"/>
        </w:rPr>
      </w:pPr>
    </w:p>
    <w:p w14:paraId="7ABDA389" w14:textId="77777777"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2.15. </w:t>
      </w:r>
      <w:r w:rsidR="00140A36" w:rsidRPr="0069787F">
        <w:rPr>
          <w:rFonts w:cs="Helvetica"/>
          <w:color w:val="000000"/>
        </w:rPr>
        <w:t>The time periods f</w:t>
      </w:r>
      <w:r w:rsidR="008B2D30" w:rsidRPr="0069787F">
        <w:rPr>
          <w:rFonts w:cs="Helvetica"/>
          <w:color w:val="000000"/>
        </w:rPr>
        <w:t xml:space="preserve">or unit charges where the Metering System is Measurement Class A and B </w:t>
      </w:r>
      <w:r w:rsidR="00D51D00">
        <w:rPr>
          <w:rFonts w:cs="Helvetica"/>
          <w:color w:val="000000"/>
        </w:rPr>
        <w:t xml:space="preserve">are </w:t>
      </w:r>
      <w:r w:rsidR="008B2D30" w:rsidRPr="0069787F">
        <w:rPr>
          <w:rFonts w:cs="Helvetica"/>
          <w:color w:val="000000"/>
        </w:rPr>
        <w:t>as specified by the SSC. To determine t</w:t>
      </w:r>
      <w:r w:rsidR="00D51D00">
        <w:rPr>
          <w:rFonts w:cs="Helvetica"/>
          <w:color w:val="000000"/>
        </w:rPr>
        <w:t>he</w:t>
      </w:r>
      <w:r w:rsidR="008B2D30" w:rsidRPr="0069787F">
        <w:rPr>
          <w:rFonts w:cs="Helvetica"/>
          <w:color w:val="000000"/>
        </w:rPr>
        <w:t xml:space="preserve"> </w:t>
      </w:r>
      <w:r w:rsidR="00997443" w:rsidRPr="0069787F">
        <w:rPr>
          <w:rFonts w:cs="Helvetica"/>
          <w:color w:val="000000"/>
        </w:rPr>
        <w:t>appropriate</w:t>
      </w:r>
      <w:r w:rsidR="008B2D30" w:rsidRPr="0069787F">
        <w:rPr>
          <w:rFonts w:cs="Helvetica"/>
          <w:color w:val="000000"/>
        </w:rPr>
        <w:t xml:space="preserve"> charge rate </w:t>
      </w:r>
      <w:r w:rsidR="00997443" w:rsidRPr="0069787F">
        <w:rPr>
          <w:rFonts w:cs="Helvetica"/>
          <w:color w:val="000000"/>
        </w:rPr>
        <w:t>for</w:t>
      </w:r>
      <w:r w:rsidR="008B2D30" w:rsidRPr="0069787F">
        <w:rPr>
          <w:rFonts w:cs="Helvetica"/>
          <w:color w:val="000000"/>
        </w:rPr>
        <w:t xml:space="preserve"> each SSC/TPR a lookup table is provided in the spreadsheets which accompany this </w:t>
      </w:r>
      <w:r w:rsidR="00997443" w:rsidRPr="0069787F">
        <w:rPr>
          <w:rFonts w:cs="Helvetica"/>
          <w:color w:val="000000"/>
        </w:rPr>
        <w:t>statement</w:t>
      </w:r>
      <w:r w:rsidR="008B2D30" w:rsidRPr="0069787F">
        <w:rPr>
          <w:rFonts w:cs="Helvetica"/>
          <w:color w:val="000000"/>
        </w:rPr>
        <w:t>.</w:t>
      </w:r>
    </w:p>
    <w:p w14:paraId="5837AEF0" w14:textId="77777777" w:rsidR="008B2D30" w:rsidRPr="0069787F" w:rsidRDefault="008B2D30" w:rsidP="00140A36">
      <w:pPr>
        <w:autoSpaceDE w:val="0"/>
        <w:autoSpaceDN w:val="0"/>
        <w:adjustRightInd w:val="0"/>
        <w:spacing w:after="0" w:line="240" w:lineRule="auto"/>
        <w:rPr>
          <w:rFonts w:cs="Helvetica"/>
          <w:color w:val="000000"/>
        </w:rPr>
      </w:pPr>
    </w:p>
    <w:p w14:paraId="6B3F03E1" w14:textId="77777777" w:rsidR="008B2D30"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2.16. </w:t>
      </w:r>
      <w:r w:rsidR="008B2D30" w:rsidRPr="0069787F">
        <w:rPr>
          <w:rFonts w:cs="Helvetica"/>
          <w:color w:val="000000"/>
        </w:rPr>
        <w:t xml:space="preserve">The time periods for unit charges where the Metering System is Measurement Class F and G are set out in the </w:t>
      </w:r>
      <w:r w:rsidR="00443EAF" w:rsidRPr="0069787F">
        <w:rPr>
          <w:rFonts w:cs="Helvetica"/>
          <w:color w:val="000000"/>
        </w:rPr>
        <w:t>table</w:t>
      </w:r>
      <w:r w:rsidR="008B2D30" w:rsidRPr="0069787F">
        <w:rPr>
          <w:rFonts w:cs="Helvetica"/>
          <w:color w:val="000000"/>
        </w:rPr>
        <w:t xml:space="preserve"> ‘Time Bands for Half Hourly Metered Properties’ in Annex 1.</w:t>
      </w:r>
    </w:p>
    <w:p w14:paraId="6B84AEA5" w14:textId="77777777" w:rsidR="008B2D30" w:rsidRPr="0069787F" w:rsidRDefault="008B2D30" w:rsidP="00140A36">
      <w:pPr>
        <w:autoSpaceDE w:val="0"/>
        <w:autoSpaceDN w:val="0"/>
        <w:adjustRightInd w:val="0"/>
        <w:spacing w:after="0" w:line="240" w:lineRule="auto"/>
        <w:rPr>
          <w:rFonts w:cs="Helvetica"/>
          <w:color w:val="000000"/>
        </w:rPr>
      </w:pPr>
    </w:p>
    <w:p w14:paraId="5C2CDCF6" w14:textId="77777777" w:rsidR="008B2D30" w:rsidRPr="0069787F" w:rsidRDefault="006B119E" w:rsidP="00140A36">
      <w:pPr>
        <w:autoSpaceDE w:val="0"/>
        <w:autoSpaceDN w:val="0"/>
        <w:adjustRightInd w:val="0"/>
        <w:spacing w:after="0" w:line="240" w:lineRule="auto"/>
        <w:rPr>
          <w:rFonts w:cs="Helvetica"/>
          <w:color w:val="000000"/>
        </w:rPr>
      </w:pPr>
      <w:r>
        <w:rPr>
          <w:rFonts w:cs="Helvetica"/>
          <w:color w:val="000000"/>
        </w:rPr>
        <w:t xml:space="preserve">2.17. </w:t>
      </w:r>
      <w:r w:rsidR="008B2D30" w:rsidRPr="0069787F">
        <w:rPr>
          <w:rFonts w:cs="Helvetica"/>
          <w:color w:val="000000"/>
        </w:rPr>
        <w:t>The ‘Domestic Off-Peak’ and ‘Small Non-Domestic Off-Peak’ charges are additional to either an unrestricted or a two-rate charge.</w:t>
      </w:r>
    </w:p>
    <w:p w14:paraId="4025AE4C" w14:textId="77777777" w:rsidR="008B2D30" w:rsidRPr="0055670D" w:rsidRDefault="008B2D30" w:rsidP="00140A36">
      <w:pPr>
        <w:autoSpaceDE w:val="0"/>
        <w:autoSpaceDN w:val="0"/>
        <w:adjustRightInd w:val="0"/>
        <w:spacing w:after="0" w:line="240" w:lineRule="auto"/>
        <w:rPr>
          <w:rFonts w:ascii="Book Antiqua" w:hAnsi="Book Antiqua" w:cs="Helvetica"/>
          <w:color w:val="000000"/>
        </w:rPr>
      </w:pPr>
    </w:p>
    <w:p w14:paraId="009C66CA" w14:textId="77777777" w:rsidR="00140A36" w:rsidRPr="00443EAF" w:rsidRDefault="00116613" w:rsidP="00443EAF">
      <w:pPr>
        <w:pStyle w:val="Subtitle"/>
        <w:rPr>
          <w:sz w:val="24"/>
          <w:u w:val="single"/>
        </w:rPr>
      </w:pPr>
      <w:r>
        <w:rPr>
          <w:sz w:val="24"/>
          <w:u w:val="single"/>
        </w:rPr>
        <w:t>Site-</w:t>
      </w:r>
      <w:r w:rsidR="00140A36" w:rsidRPr="00443EAF">
        <w:rPr>
          <w:sz w:val="24"/>
          <w:u w:val="single"/>
        </w:rPr>
        <w:t>Specific Billing and Payment</w:t>
      </w:r>
    </w:p>
    <w:p w14:paraId="0B200A4F" w14:textId="77777777" w:rsidR="00062FF0" w:rsidRPr="00CD4EDF" w:rsidRDefault="00062FF0" w:rsidP="00140A36">
      <w:pPr>
        <w:autoSpaceDE w:val="0"/>
        <w:autoSpaceDN w:val="0"/>
        <w:adjustRightInd w:val="0"/>
        <w:spacing w:after="0" w:line="240" w:lineRule="auto"/>
        <w:rPr>
          <w:rFonts w:ascii="Book Antiqua" w:hAnsi="Book Antiqua" w:cs="Helvetica-Bold"/>
          <w:b/>
          <w:bCs/>
          <w:color w:val="000000"/>
          <w:sz w:val="24"/>
          <w:szCs w:val="24"/>
        </w:rPr>
      </w:pPr>
    </w:p>
    <w:p w14:paraId="673831A5"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2.18. </w:t>
      </w:r>
      <w:r w:rsidR="00140A36" w:rsidRPr="0069787F">
        <w:rPr>
          <w:rFonts w:cs="Helvetica"/>
          <w:color w:val="000000"/>
          <w:szCs w:val="20"/>
        </w:rPr>
        <w:t xml:space="preserve">Site-specific billing and payment applies to </w:t>
      </w:r>
      <w:r w:rsidR="008B2D30" w:rsidRPr="0069787F">
        <w:rPr>
          <w:rFonts w:cs="Helvetica"/>
          <w:color w:val="000000"/>
          <w:szCs w:val="20"/>
        </w:rPr>
        <w:t>Measurement Class C, D and E, M</w:t>
      </w:r>
      <w:r w:rsidR="00140A36" w:rsidRPr="0069787F">
        <w:rPr>
          <w:rFonts w:cs="Helvetica"/>
          <w:color w:val="000000"/>
          <w:szCs w:val="20"/>
        </w:rPr>
        <w:t>etering Points settled as Half Hourly (HH)</w:t>
      </w:r>
      <w:r w:rsidR="00062FF0" w:rsidRPr="0069787F">
        <w:rPr>
          <w:rFonts w:cs="Helvetica"/>
          <w:color w:val="000000"/>
          <w:szCs w:val="20"/>
        </w:rPr>
        <w:t xml:space="preserve"> </w:t>
      </w:r>
      <w:r w:rsidR="00140A36" w:rsidRPr="0069787F">
        <w:rPr>
          <w:rFonts w:cs="Helvetica"/>
          <w:color w:val="000000"/>
          <w:szCs w:val="20"/>
        </w:rPr>
        <w:t>metered. The site-specific billing and payment approach to Use of System (UoS) billing</w:t>
      </w:r>
      <w:r w:rsidR="00062FF0" w:rsidRPr="0069787F">
        <w:rPr>
          <w:rFonts w:cs="Helvetica"/>
          <w:color w:val="000000"/>
          <w:szCs w:val="20"/>
        </w:rPr>
        <w:t xml:space="preserve"> </w:t>
      </w:r>
      <w:r w:rsidR="00140A36" w:rsidRPr="0069787F">
        <w:rPr>
          <w:rFonts w:cs="Helvetica"/>
          <w:color w:val="000000"/>
          <w:szCs w:val="20"/>
        </w:rPr>
        <w:t>makes use of HH metering data received through settlement.</w:t>
      </w:r>
    </w:p>
    <w:p w14:paraId="71D56E14" w14:textId="77777777" w:rsidR="00A55B71" w:rsidRPr="0069787F" w:rsidRDefault="00A55B71" w:rsidP="00140A36">
      <w:pPr>
        <w:autoSpaceDE w:val="0"/>
        <w:autoSpaceDN w:val="0"/>
        <w:adjustRightInd w:val="0"/>
        <w:spacing w:after="0" w:line="240" w:lineRule="auto"/>
        <w:rPr>
          <w:rFonts w:cs="Helvetica"/>
          <w:color w:val="000000"/>
          <w:szCs w:val="20"/>
        </w:rPr>
      </w:pPr>
    </w:p>
    <w:p w14:paraId="23ECE36A"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2.19. </w:t>
      </w:r>
      <w:r w:rsidR="00140A36" w:rsidRPr="0069787F">
        <w:rPr>
          <w:rFonts w:cs="Helvetica"/>
          <w:color w:val="000000"/>
          <w:szCs w:val="20"/>
        </w:rPr>
        <w:t xml:space="preserve">Invoices are calculated on a periodic basis and sent to each User, for whom </w:t>
      </w:r>
      <w:r w:rsidR="00A55B71" w:rsidRPr="0069787F">
        <w:rPr>
          <w:rFonts w:cs="Helvetica"/>
          <w:color w:val="000000"/>
          <w:szCs w:val="20"/>
        </w:rPr>
        <w:t xml:space="preserve">Harlaxton </w:t>
      </w:r>
      <w:r w:rsidR="00062FF0" w:rsidRPr="0069787F">
        <w:rPr>
          <w:rFonts w:cs="Helvetica"/>
          <w:color w:val="000000"/>
          <w:szCs w:val="20"/>
        </w:rPr>
        <w:t xml:space="preserve">Energy </w:t>
      </w:r>
      <w:r w:rsidR="00A55B71" w:rsidRPr="0069787F">
        <w:rPr>
          <w:rFonts w:cs="Helvetica"/>
          <w:color w:val="000000"/>
          <w:szCs w:val="20"/>
        </w:rPr>
        <w:t xml:space="preserve">Networks is </w:t>
      </w:r>
      <w:r w:rsidR="00140A36" w:rsidRPr="0069787F">
        <w:rPr>
          <w:rFonts w:cs="Helvetica"/>
          <w:color w:val="000000"/>
          <w:szCs w:val="20"/>
        </w:rPr>
        <w:t>transporting electricity through its Distribution System. Where an account is based on</w:t>
      </w:r>
      <w:r w:rsidR="00062FF0" w:rsidRPr="0069787F">
        <w:rPr>
          <w:rFonts w:cs="Helvetica"/>
          <w:color w:val="000000"/>
          <w:szCs w:val="20"/>
        </w:rPr>
        <w:t xml:space="preserve"> </w:t>
      </w:r>
      <w:r w:rsidR="00140A36" w:rsidRPr="0069787F">
        <w:rPr>
          <w:rFonts w:cs="Helvetica"/>
          <w:color w:val="000000"/>
          <w:szCs w:val="20"/>
        </w:rPr>
        <w:t>estimated data, the account shall be subject to any adjustment that may be necessary</w:t>
      </w:r>
      <w:r w:rsidR="00062FF0" w:rsidRPr="0069787F">
        <w:rPr>
          <w:rFonts w:cs="Helvetica"/>
          <w:color w:val="000000"/>
          <w:szCs w:val="20"/>
        </w:rPr>
        <w:t xml:space="preserve"> </w:t>
      </w:r>
      <w:r w:rsidR="00140A36" w:rsidRPr="0069787F">
        <w:rPr>
          <w:rFonts w:cs="Helvetica"/>
          <w:color w:val="000000"/>
          <w:szCs w:val="20"/>
        </w:rPr>
        <w:t>following the receipt of actual data from the User.</w:t>
      </w:r>
    </w:p>
    <w:p w14:paraId="51DD0D95" w14:textId="77777777" w:rsidR="00A55B71" w:rsidRPr="0069787F" w:rsidRDefault="00A55B71" w:rsidP="00140A36">
      <w:pPr>
        <w:autoSpaceDE w:val="0"/>
        <w:autoSpaceDN w:val="0"/>
        <w:adjustRightInd w:val="0"/>
        <w:spacing w:after="0" w:line="240" w:lineRule="auto"/>
        <w:rPr>
          <w:rFonts w:cs="Helvetica"/>
          <w:color w:val="000000"/>
          <w:szCs w:val="20"/>
        </w:rPr>
      </w:pPr>
    </w:p>
    <w:p w14:paraId="285EF030" w14:textId="77777777" w:rsidR="00F334F0"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2.20. </w:t>
      </w:r>
      <w:r w:rsidR="00140A36" w:rsidRPr="0069787F">
        <w:rPr>
          <w:rFonts w:cs="Helvetica"/>
          <w:color w:val="000000"/>
          <w:szCs w:val="20"/>
        </w:rPr>
        <w:t>The charges are applied on the basis of the LLFCs assigned to the MPAN (or the MSID for</w:t>
      </w:r>
      <w:r w:rsidR="00062FF0" w:rsidRPr="0069787F">
        <w:rPr>
          <w:rFonts w:cs="Helvetica"/>
          <w:color w:val="000000"/>
          <w:szCs w:val="20"/>
        </w:rPr>
        <w:t xml:space="preserve"> </w:t>
      </w:r>
      <w:r w:rsidR="00140A36" w:rsidRPr="0069787F">
        <w:rPr>
          <w:rFonts w:cs="Helvetica"/>
          <w:color w:val="000000"/>
          <w:szCs w:val="20"/>
        </w:rPr>
        <w:t>Central Volume Allocation (CVA) sites), and the units consumed within the time periods</w:t>
      </w:r>
      <w:r w:rsidR="00062FF0" w:rsidRPr="0069787F">
        <w:rPr>
          <w:rFonts w:cs="Helvetica"/>
          <w:color w:val="000000"/>
          <w:szCs w:val="20"/>
        </w:rPr>
        <w:t xml:space="preserve"> </w:t>
      </w:r>
      <w:r w:rsidR="00CB0F28" w:rsidRPr="0069787F">
        <w:rPr>
          <w:rFonts w:cs="Helvetica"/>
          <w:color w:val="000000"/>
          <w:szCs w:val="20"/>
        </w:rPr>
        <w:t>specified in this statement.</w:t>
      </w:r>
    </w:p>
    <w:p w14:paraId="5D3119DB" w14:textId="77777777" w:rsidR="00CB0F28" w:rsidRPr="0069787F" w:rsidRDefault="00CB0F28" w:rsidP="00140A36">
      <w:pPr>
        <w:autoSpaceDE w:val="0"/>
        <w:autoSpaceDN w:val="0"/>
        <w:adjustRightInd w:val="0"/>
        <w:spacing w:after="0" w:line="240" w:lineRule="auto"/>
        <w:rPr>
          <w:rFonts w:cs="Helvetica"/>
          <w:color w:val="000000"/>
          <w:szCs w:val="20"/>
        </w:rPr>
      </w:pPr>
    </w:p>
    <w:p w14:paraId="3FB9DE25"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 xml:space="preserve">2.21. </w:t>
      </w:r>
      <w:r w:rsidR="00140A36" w:rsidRPr="0069787F">
        <w:rPr>
          <w:rFonts w:cs="Helvetica"/>
          <w:color w:val="000000"/>
          <w:szCs w:val="20"/>
        </w:rPr>
        <w:t xml:space="preserve">All LLFCs are assigned at the sole discretion of </w:t>
      </w:r>
      <w:r w:rsidR="00A55B71" w:rsidRPr="0069787F">
        <w:rPr>
          <w:rFonts w:cs="Helvetica"/>
          <w:color w:val="000000"/>
          <w:szCs w:val="20"/>
        </w:rPr>
        <w:t xml:space="preserve">Harlaxton </w:t>
      </w:r>
      <w:r w:rsidR="00062FF0" w:rsidRPr="0069787F">
        <w:rPr>
          <w:rFonts w:cs="Helvetica"/>
          <w:color w:val="000000"/>
          <w:szCs w:val="20"/>
        </w:rPr>
        <w:t>E</w:t>
      </w:r>
      <w:r w:rsidR="00DE011F" w:rsidRPr="0069787F">
        <w:rPr>
          <w:rFonts w:cs="Helvetica"/>
          <w:color w:val="000000"/>
          <w:szCs w:val="20"/>
        </w:rPr>
        <w:t>nergy Networks</w:t>
      </w:r>
      <w:r w:rsidR="00A55B71" w:rsidRPr="0069787F">
        <w:rPr>
          <w:rFonts w:cs="Helvetica"/>
          <w:color w:val="000000"/>
          <w:szCs w:val="20"/>
        </w:rPr>
        <w:t>.</w:t>
      </w:r>
      <w:r w:rsidR="00140A36" w:rsidRPr="0069787F">
        <w:rPr>
          <w:rFonts w:cs="Helvetica"/>
          <w:color w:val="000000"/>
          <w:szCs w:val="20"/>
        </w:rPr>
        <w:t xml:space="preserve"> Where an incorrectly applied LLFC</w:t>
      </w:r>
      <w:r w:rsidR="00A55B71" w:rsidRPr="0069787F">
        <w:rPr>
          <w:rFonts w:cs="Helvetica"/>
          <w:color w:val="000000"/>
          <w:szCs w:val="20"/>
        </w:rPr>
        <w:t xml:space="preserve"> is identified, Harlaxton </w:t>
      </w:r>
      <w:r w:rsidR="00062FF0" w:rsidRPr="0069787F">
        <w:rPr>
          <w:rFonts w:cs="Helvetica"/>
          <w:color w:val="000000"/>
          <w:szCs w:val="20"/>
        </w:rPr>
        <w:t>Energy Networks</w:t>
      </w:r>
      <w:r w:rsidR="00140A36" w:rsidRPr="0069787F">
        <w:rPr>
          <w:rFonts w:cs="Helvetica"/>
          <w:color w:val="000000"/>
          <w:szCs w:val="20"/>
        </w:rPr>
        <w:t xml:space="preserve"> may at its sole discretion apply the correct LLFC and/or charges.</w:t>
      </w:r>
    </w:p>
    <w:p w14:paraId="588C0762" w14:textId="77777777" w:rsidR="00A55B71" w:rsidRPr="00CD4EDF" w:rsidRDefault="00A55B71" w:rsidP="00140A36">
      <w:pPr>
        <w:autoSpaceDE w:val="0"/>
        <w:autoSpaceDN w:val="0"/>
        <w:adjustRightInd w:val="0"/>
        <w:spacing w:after="0" w:line="240" w:lineRule="auto"/>
        <w:rPr>
          <w:rFonts w:ascii="Book Antiqua" w:hAnsi="Book Antiqua" w:cs="Helvetica-Bold"/>
          <w:b/>
          <w:bCs/>
          <w:color w:val="000000"/>
          <w:sz w:val="24"/>
          <w:szCs w:val="24"/>
        </w:rPr>
      </w:pPr>
    </w:p>
    <w:p w14:paraId="0F04218E" w14:textId="77777777" w:rsidR="00140A36" w:rsidRDefault="00140A36" w:rsidP="00443EAF">
      <w:pPr>
        <w:pStyle w:val="Subtitle"/>
        <w:rPr>
          <w:sz w:val="24"/>
          <w:u w:val="single"/>
        </w:rPr>
      </w:pPr>
      <w:r w:rsidRPr="00443EAF">
        <w:rPr>
          <w:sz w:val="24"/>
          <w:u w:val="single"/>
        </w:rPr>
        <w:t>Site-Specific Billed Charges</w:t>
      </w:r>
    </w:p>
    <w:p w14:paraId="0DF8A80C" w14:textId="1324F9AD"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22</w:t>
      </w:r>
      <w:r>
        <w:rPr>
          <w:rFonts w:cs="Helvetica"/>
          <w:color w:val="000000"/>
          <w:szCs w:val="20"/>
        </w:rPr>
        <w:t xml:space="preserve">. </w:t>
      </w:r>
      <w:r w:rsidR="00140A36" w:rsidRPr="0069787F">
        <w:rPr>
          <w:rFonts w:cs="Helvetica"/>
          <w:color w:val="000000"/>
          <w:szCs w:val="20"/>
        </w:rPr>
        <w:t>Site-Specific billed charges may include the following components:</w:t>
      </w:r>
    </w:p>
    <w:p w14:paraId="17538704" w14:textId="77777777" w:rsidR="00140A36" w:rsidRPr="0069787F" w:rsidRDefault="00140A36" w:rsidP="00062FF0">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a fixed charge pence/MPAN/day or pence/MSID/day;</w:t>
      </w:r>
    </w:p>
    <w:p w14:paraId="7A6F4FD5" w14:textId="77777777" w:rsidR="00140A36" w:rsidRPr="0069787F" w:rsidRDefault="00140A36" w:rsidP="00140A36">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a capacity charge, pence/kVA/day for Maximum Import Capacity (MIC) and/or</w:t>
      </w:r>
      <w:r w:rsidR="00062FF0" w:rsidRPr="0069787F">
        <w:rPr>
          <w:rFonts w:cs="Helvetica"/>
          <w:color w:val="000000"/>
          <w:szCs w:val="20"/>
        </w:rPr>
        <w:t xml:space="preserve"> </w:t>
      </w:r>
      <w:r w:rsidRPr="0069787F">
        <w:rPr>
          <w:rFonts w:cs="Helvetica"/>
          <w:color w:val="000000"/>
          <w:szCs w:val="20"/>
        </w:rPr>
        <w:t>Maximum Export Capacity (MEC);</w:t>
      </w:r>
    </w:p>
    <w:p w14:paraId="1B56A51A" w14:textId="77777777" w:rsidR="00140A36" w:rsidRPr="0069787F" w:rsidRDefault="00140A36" w:rsidP="00062FF0">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an excess capacity charge, pence/kVA/day, if a site exceed its MIC and/or MEC;</w:t>
      </w:r>
    </w:p>
    <w:p w14:paraId="6608A0B2" w14:textId="77777777" w:rsidR="00140A36" w:rsidRPr="0069787F" w:rsidRDefault="00140A36" w:rsidP="00062FF0">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unit Charges, pence/kWh, more than one unit charge may be applied; and</w:t>
      </w:r>
    </w:p>
    <w:p w14:paraId="7409CD17" w14:textId="77777777" w:rsidR="00140A36" w:rsidRPr="0069787F" w:rsidRDefault="00140A36" w:rsidP="00140A36">
      <w:pPr>
        <w:pStyle w:val="ListParagraph"/>
        <w:numPr>
          <w:ilvl w:val="0"/>
          <w:numId w:val="6"/>
        </w:numPr>
        <w:autoSpaceDE w:val="0"/>
        <w:autoSpaceDN w:val="0"/>
        <w:adjustRightInd w:val="0"/>
        <w:spacing w:after="0" w:line="240" w:lineRule="auto"/>
        <w:rPr>
          <w:rFonts w:cs="Helvetica"/>
          <w:color w:val="000000"/>
          <w:szCs w:val="20"/>
        </w:rPr>
      </w:pPr>
      <w:r w:rsidRPr="0069787F">
        <w:rPr>
          <w:rFonts w:cs="Helvetica"/>
          <w:color w:val="000000"/>
          <w:szCs w:val="20"/>
        </w:rPr>
        <w:t>an excess reactive power charge, pence/kVArh, for each unit in excess of the</w:t>
      </w:r>
      <w:r w:rsidR="00062FF0" w:rsidRPr="0069787F">
        <w:rPr>
          <w:rFonts w:cs="Helvetica"/>
          <w:color w:val="000000"/>
          <w:szCs w:val="20"/>
        </w:rPr>
        <w:t xml:space="preserve"> </w:t>
      </w:r>
      <w:r w:rsidRPr="0069787F">
        <w:rPr>
          <w:rFonts w:cs="Helvetica"/>
          <w:color w:val="000000"/>
          <w:szCs w:val="20"/>
        </w:rPr>
        <w:t>reactive charge threshold.</w:t>
      </w:r>
    </w:p>
    <w:p w14:paraId="370DD1EF" w14:textId="77777777" w:rsidR="00A55B71" w:rsidRPr="00062FF0" w:rsidRDefault="00A55B71" w:rsidP="00140A36">
      <w:pPr>
        <w:autoSpaceDE w:val="0"/>
        <w:autoSpaceDN w:val="0"/>
        <w:adjustRightInd w:val="0"/>
        <w:spacing w:after="0" w:line="240" w:lineRule="auto"/>
        <w:rPr>
          <w:rFonts w:ascii="Book Antiqua" w:hAnsi="Book Antiqua" w:cs="Helvetica"/>
          <w:color w:val="000000"/>
          <w:szCs w:val="20"/>
        </w:rPr>
      </w:pPr>
    </w:p>
    <w:p w14:paraId="283B8AED" w14:textId="51786366"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23</w:t>
      </w:r>
      <w:r>
        <w:rPr>
          <w:rFonts w:cs="Helvetica"/>
          <w:color w:val="000000"/>
          <w:szCs w:val="20"/>
        </w:rPr>
        <w:t xml:space="preserve">. </w:t>
      </w:r>
      <w:r w:rsidR="00140A36" w:rsidRPr="0069787F">
        <w:rPr>
          <w:rFonts w:cs="Helvetica"/>
          <w:color w:val="000000"/>
          <w:szCs w:val="20"/>
        </w:rPr>
        <w:t>Users who wish to supply electricity to Customers whose Metering System is Measurement</w:t>
      </w:r>
      <w:r w:rsidR="00062FF0" w:rsidRPr="0069787F">
        <w:rPr>
          <w:rFonts w:cs="Helvetica"/>
          <w:color w:val="000000"/>
          <w:szCs w:val="20"/>
        </w:rPr>
        <w:t xml:space="preserve"> </w:t>
      </w:r>
      <w:r w:rsidR="00140A36" w:rsidRPr="0069787F">
        <w:rPr>
          <w:rFonts w:cs="Helvetica"/>
          <w:color w:val="000000"/>
          <w:szCs w:val="20"/>
        </w:rPr>
        <w:t>Class C, D or E or CVA will be allocated the relevant charge structure dependent upon the</w:t>
      </w:r>
      <w:r w:rsidR="00062FF0" w:rsidRPr="0069787F">
        <w:rPr>
          <w:rFonts w:cs="Helvetica"/>
          <w:color w:val="000000"/>
          <w:szCs w:val="20"/>
        </w:rPr>
        <w:t xml:space="preserve"> </w:t>
      </w:r>
      <w:r w:rsidR="00140A36" w:rsidRPr="0069787F">
        <w:rPr>
          <w:rFonts w:cs="Helvetica"/>
          <w:color w:val="000000"/>
          <w:szCs w:val="20"/>
        </w:rPr>
        <w:t>voltage and location of the metering point.</w:t>
      </w:r>
    </w:p>
    <w:p w14:paraId="0F4D7C6B" w14:textId="77777777" w:rsidR="00A55B71" w:rsidRPr="00062FF0" w:rsidRDefault="00A55B71" w:rsidP="00140A36">
      <w:pPr>
        <w:autoSpaceDE w:val="0"/>
        <w:autoSpaceDN w:val="0"/>
        <w:adjustRightInd w:val="0"/>
        <w:spacing w:after="0" w:line="240" w:lineRule="auto"/>
        <w:rPr>
          <w:rFonts w:ascii="Book Antiqua" w:hAnsi="Book Antiqua" w:cs="Times-Roman"/>
          <w:color w:val="000000"/>
          <w:sz w:val="15"/>
          <w:szCs w:val="13"/>
        </w:rPr>
      </w:pPr>
    </w:p>
    <w:p w14:paraId="2AAAD1F0" w14:textId="56669F7E" w:rsidR="00140A36" w:rsidRPr="00062FF0" w:rsidRDefault="00377F62" w:rsidP="00140A36">
      <w:pPr>
        <w:autoSpaceDE w:val="0"/>
        <w:autoSpaceDN w:val="0"/>
        <w:adjustRightInd w:val="0"/>
        <w:spacing w:after="0" w:line="240" w:lineRule="auto"/>
        <w:rPr>
          <w:rFonts w:ascii="Book Antiqua" w:hAnsi="Book Antiqua" w:cs="Helvetica"/>
          <w:color w:val="000000"/>
          <w:szCs w:val="20"/>
        </w:rPr>
      </w:pPr>
      <w:r>
        <w:rPr>
          <w:rFonts w:cs="Helvetica"/>
          <w:color w:val="000000"/>
          <w:szCs w:val="20"/>
        </w:rPr>
        <w:lastRenderedPageBreak/>
        <w:t>2.</w:t>
      </w:r>
      <w:r w:rsidR="00632ACD">
        <w:rPr>
          <w:rFonts w:cs="Helvetica"/>
          <w:color w:val="000000"/>
          <w:szCs w:val="20"/>
        </w:rPr>
        <w:t>24</w:t>
      </w:r>
      <w:r w:rsidR="006B119E">
        <w:rPr>
          <w:rFonts w:cs="Helvetica"/>
          <w:color w:val="000000"/>
          <w:szCs w:val="20"/>
        </w:rPr>
        <w:t xml:space="preserve">. </w:t>
      </w:r>
      <w:r w:rsidR="00140A36" w:rsidRPr="0069787F">
        <w:rPr>
          <w:rFonts w:cs="Helvetica"/>
          <w:color w:val="000000"/>
          <w:szCs w:val="20"/>
        </w:rPr>
        <w:t>Measurement Class C, E or CVA charges apply to exit/entry points where HH metering, or</w:t>
      </w:r>
      <w:r w:rsidR="00062FF0" w:rsidRPr="0069787F">
        <w:rPr>
          <w:rFonts w:cs="Helvetica"/>
          <w:color w:val="000000"/>
          <w:szCs w:val="20"/>
        </w:rPr>
        <w:t xml:space="preserve"> </w:t>
      </w:r>
      <w:r w:rsidR="00140A36" w:rsidRPr="0069787F">
        <w:rPr>
          <w:rFonts w:cs="Helvetica"/>
          <w:color w:val="000000"/>
          <w:szCs w:val="20"/>
        </w:rPr>
        <w:t>an equivalent meter, is used for settlement purposes</w:t>
      </w:r>
      <w:r w:rsidR="00140A36" w:rsidRPr="00062FF0">
        <w:rPr>
          <w:rFonts w:ascii="Book Antiqua" w:hAnsi="Book Antiqua" w:cs="Helvetica"/>
          <w:color w:val="000000"/>
          <w:szCs w:val="20"/>
        </w:rPr>
        <w:t>.</w:t>
      </w:r>
    </w:p>
    <w:p w14:paraId="7644BF72" w14:textId="77777777"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14:paraId="467181C2" w14:textId="6843291C" w:rsidR="00140A36" w:rsidRDefault="006B119E" w:rsidP="00140A36">
      <w:pPr>
        <w:autoSpaceDE w:val="0"/>
        <w:autoSpaceDN w:val="0"/>
        <w:adjustRightInd w:val="0"/>
        <w:spacing w:after="0" w:line="240" w:lineRule="auto"/>
        <w:rPr>
          <w:rFonts w:cs="Helvetica"/>
          <w:color w:val="000000"/>
        </w:rPr>
      </w:pPr>
      <w:r>
        <w:rPr>
          <w:rFonts w:cs="Helvetica"/>
          <w:color w:val="000000"/>
        </w:rPr>
        <w:t>2.</w:t>
      </w:r>
      <w:r w:rsidR="00632ACD">
        <w:rPr>
          <w:rFonts w:cs="Helvetica"/>
          <w:color w:val="000000"/>
        </w:rPr>
        <w:t>25</w:t>
      </w:r>
      <w:r>
        <w:rPr>
          <w:rFonts w:cs="Helvetica"/>
          <w:color w:val="000000"/>
        </w:rPr>
        <w:t xml:space="preserve">. </w:t>
      </w:r>
      <w:r w:rsidR="00140A36" w:rsidRPr="0069787F">
        <w:rPr>
          <w:rFonts w:cs="Helvetica"/>
          <w:color w:val="000000"/>
        </w:rPr>
        <w:t>Measurement Class D charges apply to exit/entry points deemed to be suitable as</w:t>
      </w:r>
      <w:r w:rsidR="00062FF0" w:rsidRPr="0069787F">
        <w:rPr>
          <w:rFonts w:cs="Helvetica"/>
          <w:color w:val="000000"/>
        </w:rPr>
        <w:t xml:space="preserve"> </w:t>
      </w:r>
      <w:r w:rsidR="00140A36" w:rsidRPr="0069787F">
        <w:rPr>
          <w:rFonts w:cs="Helvetica"/>
          <w:color w:val="000000"/>
        </w:rPr>
        <w:t>unmetered supplies as permitted in the Electricity (Unmetered Supply) Regulations 2001</w:t>
      </w:r>
      <w:r w:rsidR="003A516A">
        <w:rPr>
          <w:rStyle w:val="FootnoteReference"/>
          <w:rFonts w:cs="Helvetica"/>
          <w:color w:val="000000"/>
        </w:rPr>
        <w:footnoteReference w:id="5"/>
      </w:r>
      <w:r w:rsidR="00062FF0" w:rsidRPr="0069787F">
        <w:rPr>
          <w:rFonts w:cs="Helvetica"/>
          <w:color w:val="000000"/>
          <w:vertAlign w:val="superscript"/>
        </w:rPr>
        <w:t xml:space="preserve"> </w:t>
      </w:r>
      <w:r w:rsidR="00140A36" w:rsidRPr="0069787F">
        <w:rPr>
          <w:rFonts w:cs="Helvetica"/>
          <w:color w:val="000000"/>
        </w:rPr>
        <w:t>and where operated in accordance with BSCP520</w:t>
      </w:r>
      <w:r w:rsidR="003A516A">
        <w:rPr>
          <w:rStyle w:val="FootnoteReference"/>
          <w:rFonts w:cs="Helvetica"/>
          <w:color w:val="000000"/>
        </w:rPr>
        <w:footnoteReference w:id="6"/>
      </w:r>
      <w:r w:rsidR="008B2D30" w:rsidRPr="0069787F">
        <w:rPr>
          <w:rFonts w:cs="Helvetica"/>
          <w:color w:val="000000"/>
        </w:rPr>
        <w:t>.</w:t>
      </w:r>
    </w:p>
    <w:p w14:paraId="2F7EA951" w14:textId="77777777" w:rsidR="009D4058" w:rsidRPr="0069787F" w:rsidRDefault="009D4058" w:rsidP="00140A36">
      <w:pPr>
        <w:autoSpaceDE w:val="0"/>
        <w:autoSpaceDN w:val="0"/>
        <w:adjustRightInd w:val="0"/>
        <w:spacing w:after="0" w:line="240" w:lineRule="auto"/>
        <w:rPr>
          <w:rFonts w:cs="Helvetica"/>
          <w:color w:val="000000"/>
          <w:sz w:val="20"/>
          <w:szCs w:val="20"/>
        </w:rPr>
      </w:pPr>
    </w:p>
    <w:p w14:paraId="29324CE9" w14:textId="7E5BDEDC" w:rsidR="00062FF0" w:rsidRPr="0069787F" w:rsidRDefault="00377F62" w:rsidP="00062FF0">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26</w:t>
      </w:r>
      <w:r w:rsidR="006B119E">
        <w:rPr>
          <w:rFonts w:cs="Helvetica"/>
          <w:color w:val="000000"/>
          <w:szCs w:val="20"/>
        </w:rPr>
        <w:t xml:space="preserve">. </w:t>
      </w:r>
      <w:r w:rsidR="00062FF0" w:rsidRPr="0069787F">
        <w:rPr>
          <w:rFonts w:cs="Helvetica"/>
          <w:color w:val="000000"/>
          <w:szCs w:val="20"/>
        </w:rPr>
        <w:t>Fixed charges are generally levied on a pence per MPAN or pence per MSID basis. Where two or more HH MPANs are located at the same point of connection (as identified in the connection agreement), with the same LLFC, and registered to the same Supplier, only one daily fixed charge will be applied.</w:t>
      </w:r>
    </w:p>
    <w:p w14:paraId="09BD613D" w14:textId="77777777" w:rsidR="00062FF0" w:rsidRPr="0069787F" w:rsidRDefault="00062FF0" w:rsidP="00062FF0">
      <w:pPr>
        <w:autoSpaceDE w:val="0"/>
        <w:autoSpaceDN w:val="0"/>
        <w:adjustRightInd w:val="0"/>
        <w:spacing w:after="0" w:line="240" w:lineRule="auto"/>
        <w:rPr>
          <w:rFonts w:cs="Helvetica"/>
          <w:color w:val="000000"/>
          <w:szCs w:val="20"/>
        </w:rPr>
      </w:pPr>
    </w:p>
    <w:p w14:paraId="4148056D" w14:textId="756E87E5" w:rsidR="00062FF0" w:rsidRPr="0069787F" w:rsidRDefault="006B119E" w:rsidP="00062FF0">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27</w:t>
      </w:r>
      <w:r>
        <w:rPr>
          <w:rFonts w:cs="Helvetica"/>
          <w:color w:val="000000"/>
          <w:szCs w:val="20"/>
        </w:rPr>
        <w:t xml:space="preserve">. </w:t>
      </w:r>
      <w:r w:rsidR="00062FF0" w:rsidRPr="0069787F">
        <w:rPr>
          <w:rFonts w:cs="Helvetica"/>
          <w:color w:val="000000"/>
          <w:szCs w:val="20"/>
        </w:rPr>
        <w:t>LV &amp; HV Designated Properties will be charged in accordance with the CDCM and allocated the relevant charge structure set out in Annex 1.</w:t>
      </w:r>
    </w:p>
    <w:p w14:paraId="0304FD25" w14:textId="77777777" w:rsidR="00062FF0" w:rsidRPr="0069787F" w:rsidRDefault="00062FF0" w:rsidP="00062FF0">
      <w:pPr>
        <w:autoSpaceDE w:val="0"/>
        <w:autoSpaceDN w:val="0"/>
        <w:adjustRightInd w:val="0"/>
        <w:spacing w:after="0" w:line="240" w:lineRule="auto"/>
        <w:rPr>
          <w:rFonts w:cs="Helvetica"/>
          <w:color w:val="000000"/>
          <w:szCs w:val="20"/>
        </w:rPr>
      </w:pPr>
    </w:p>
    <w:p w14:paraId="7170200C" w14:textId="0441A8FF" w:rsidR="00062FF0" w:rsidRPr="0069787F" w:rsidRDefault="006B119E" w:rsidP="00062FF0">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28</w:t>
      </w:r>
      <w:r>
        <w:rPr>
          <w:rFonts w:cs="Helvetica"/>
          <w:color w:val="000000"/>
          <w:szCs w:val="20"/>
        </w:rPr>
        <w:t xml:space="preserve">. </w:t>
      </w:r>
      <w:r w:rsidR="00062FF0" w:rsidRPr="0069787F">
        <w:rPr>
          <w:rFonts w:cs="Helvetica"/>
          <w:color w:val="000000"/>
          <w:szCs w:val="20"/>
        </w:rPr>
        <w:t>Designated EHV Properties will be charged in accordance with the EDCM and allocated the</w:t>
      </w:r>
      <w:r w:rsidR="00DE011F" w:rsidRPr="0069787F">
        <w:rPr>
          <w:rFonts w:cs="Helvetica"/>
          <w:color w:val="000000"/>
          <w:szCs w:val="20"/>
        </w:rPr>
        <w:t xml:space="preserve"> </w:t>
      </w:r>
      <w:r w:rsidR="00062FF0" w:rsidRPr="0069787F">
        <w:rPr>
          <w:rFonts w:cs="Helvetica"/>
          <w:color w:val="000000"/>
          <w:szCs w:val="20"/>
        </w:rPr>
        <w:t xml:space="preserve">relevant charge structure set out in Annex 2. For clarity, </w:t>
      </w:r>
      <w:r w:rsidR="00DE011F" w:rsidRPr="0069787F">
        <w:rPr>
          <w:rFonts w:cs="Helvetica"/>
          <w:color w:val="000000"/>
          <w:szCs w:val="20"/>
        </w:rPr>
        <w:t>Harlaxton Energy Networks</w:t>
      </w:r>
      <w:r w:rsidR="00062FF0" w:rsidRPr="0069787F">
        <w:rPr>
          <w:rFonts w:cs="Helvetica"/>
          <w:color w:val="000000"/>
          <w:szCs w:val="20"/>
        </w:rPr>
        <w:t xml:space="preserve"> does not currently have any</w:t>
      </w:r>
      <w:r w:rsidR="00DE011F" w:rsidRPr="0069787F">
        <w:rPr>
          <w:rFonts w:cs="Helvetica"/>
          <w:color w:val="000000"/>
          <w:szCs w:val="20"/>
        </w:rPr>
        <w:t xml:space="preserve"> </w:t>
      </w:r>
      <w:r w:rsidR="00062FF0" w:rsidRPr="0069787F">
        <w:rPr>
          <w:rFonts w:cs="Helvetica"/>
          <w:color w:val="000000"/>
          <w:szCs w:val="20"/>
        </w:rPr>
        <w:t>Designated EHV properties.</w:t>
      </w:r>
    </w:p>
    <w:p w14:paraId="758A619F" w14:textId="77777777" w:rsidR="00DE011F" w:rsidRPr="0069787F" w:rsidRDefault="00DE011F" w:rsidP="00997443">
      <w:pPr>
        <w:autoSpaceDE w:val="0"/>
        <w:autoSpaceDN w:val="0"/>
        <w:adjustRightInd w:val="0"/>
        <w:spacing w:after="0" w:line="240" w:lineRule="auto"/>
        <w:rPr>
          <w:rFonts w:cs="Times-Roman"/>
          <w:color w:val="000000"/>
          <w:sz w:val="14"/>
          <w:szCs w:val="14"/>
          <w:u w:val="single"/>
        </w:rPr>
      </w:pPr>
    </w:p>
    <w:p w14:paraId="58D00BDE" w14:textId="77777777" w:rsidR="00DE011F" w:rsidRPr="0069787F" w:rsidRDefault="00DE011F" w:rsidP="00DE011F">
      <w:pPr>
        <w:autoSpaceDE w:val="0"/>
        <w:autoSpaceDN w:val="0"/>
        <w:adjustRightInd w:val="0"/>
        <w:spacing w:after="0" w:line="240" w:lineRule="auto"/>
        <w:rPr>
          <w:rFonts w:cs="Helvetica"/>
          <w:color w:val="0000FF"/>
          <w:sz w:val="16"/>
          <w:szCs w:val="16"/>
        </w:rPr>
      </w:pPr>
    </w:p>
    <w:p w14:paraId="40642E46" w14:textId="33BBB5E4" w:rsidR="00062FF0" w:rsidRPr="0069787F" w:rsidRDefault="006B119E" w:rsidP="00062FF0">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29</w:t>
      </w:r>
      <w:r>
        <w:rPr>
          <w:rFonts w:cs="Helvetica"/>
          <w:color w:val="000000"/>
          <w:szCs w:val="20"/>
        </w:rPr>
        <w:t xml:space="preserve">. </w:t>
      </w:r>
      <w:r w:rsidR="00062FF0" w:rsidRPr="0069787F">
        <w:rPr>
          <w:rFonts w:cs="Helvetica"/>
          <w:color w:val="000000"/>
          <w:szCs w:val="20"/>
        </w:rPr>
        <w:t>Where LV and HV Designated Properties or Desi</w:t>
      </w:r>
      <w:r w:rsidR="00DE011F" w:rsidRPr="0069787F">
        <w:rPr>
          <w:rFonts w:cs="Helvetica"/>
          <w:color w:val="000000"/>
          <w:szCs w:val="20"/>
        </w:rPr>
        <w:t xml:space="preserve">gnated EHV Properties have more </w:t>
      </w:r>
      <w:r w:rsidR="00062FF0" w:rsidRPr="0069787F">
        <w:rPr>
          <w:rFonts w:cs="Helvetica"/>
          <w:color w:val="000000"/>
          <w:szCs w:val="20"/>
        </w:rPr>
        <w:t>than</w:t>
      </w:r>
      <w:r w:rsidR="00DE011F" w:rsidRPr="0069787F">
        <w:rPr>
          <w:rFonts w:cs="Helvetica"/>
          <w:color w:val="000000"/>
          <w:szCs w:val="20"/>
        </w:rPr>
        <w:t xml:space="preserve"> </w:t>
      </w:r>
      <w:r w:rsidR="00062FF0" w:rsidRPr="0069787F">
        <w:rPr>
          <w:rFonts w:cs="Helvetica"/>
          <w:color w:val="000000"/>
          <w:szCs w:val="20"/>
        </w:rPr>
        <w:t>one point of connection then separate charges</w:t>
      </w:r>
      <w:r w:rsidR="00DE011F" w:rsidRPr="0069787F">
        <w:rPr>
          <w:rFonts w:cs="Helvetica"/>
          <w:color w:val="000000"/>
          <w:szCs w:val="20"/>
        </w:rPr>
        <w:t xml:space="preserve"> </w:t>
      </w:r>
      <w:r w:rsidR="00062FF0" w:rsidRPr="0069787F">
        <w:rPr>
          <w:rFonts w:cs="Helvetica"/>
          <w:color w:val="000000"/>
          <w:szCs w:val="20"/>
        </w:rPr>
        <w:t>will be applied to each point of connection.</w:t>
      </w:r>
    </w:p>
    <w:p w14:paraId="5E4FF91D" w14:textId="77777777" w:rsidR="00CB0F28" w:rsidRPr="00CD4EDF" w:rsidRDefault="00CB0F28" w:rsidP="00140A36">
      <w:pPr>
        <w:autoSpaceDE w:val="0"/>
        <w:autoSpaceDN w:val="0"/>
        <w:adjustRightInd w:val="0"/>
        <w:spacing w:after="0" w:line="240" w:lineRule="auto"/>
        <w:rPr>
          <w:rFonts w:ascii="Book Antiqua" w:hAnsi="Book Antiqua" w:cs="Helvetica"/>
          <w:color w:val="000000"/>
          <w:sz w:val="20"/>
          <w:szCs w:val="20"/>
        </w:rPr>
      </w:pPr>
    </w:p>
    <w:p w14:paraId="3D14A487" w14:textId="77777777" w:rsidR="00140A36" w:rsidRPr="00443EAF" w:rsidRDefault="00140A36" w:rsidP="00443EAF">
      <w:pPr>
        <w:pStyle w:val="Subtitle"/>
        <w:rPr>
          <w:sz w:val="24"/>
          <w:u w:val="single"/>
        </w:rPr>
      </w:pPr>
      <w:r w:rsidRPr="00443EAF">
        <w:rPr>
          <w:sz w:val="24"/>
          <w:u w:val="single"/>
        </w:rPr>
        <w:t>Time Periods for HH Metered Properties</w:t>
      </w:r>
    </w:p>
    <w:p w14:paraId="5BF8A476" w14:textId="77777777" w:rsidR="009D4058" w:rsidRPr="0069787F" w:rsidRDefault="009D4058" w:rsidP="00140A36">
      <w:pPr>
        <w:autoSpaceDE w:val="0"/>
        <w:autoSpaceDN w:val="0"/>
        <w:adjustRightInd w:val="0"/>
        <w:spacing w:after="0" w:line="240" w:lineRule="auto"/>
        <w:rPr>
          <w:rFonts w:cs="Helvetica"/>
          <w:color w:val="000000"/>
          <w:szCs w:val="20"/>
        </w:rPr>
      </w:pPr>
    </w:p>
    <w:p w14:paraId="6CCA1F67" w14:textId="304B8B88"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30</w:t>
      </w:r>
      <w:r>
        <w:rPr>
          <w:rFonts w:cs="Helvetica"/>
          <w:color w:val="000000"/>
          <w:szCs w:val="20"/>
        </w:rPr>
        <w:t xml:space="preserve">. </w:t>
      </w:r>
      <w:r w:rsidR="00140A36" w:rsidRPr="0069787F">
        <w:rPr>
          <w:rFonts w:cs="Helvetica"/>
          <w:color w:val="000000"/>
          <w:szCs w:val="20"/>
        </w:rPr>
        <w:t>The time periods for the application of unit charges to LV and HV Designated Properties</w:t>
      </w:r>
      <w:r w:rsidR="00DE011F" w:rsidRPr="0069787F">
        <w:rPr>
          <w:rFonts w:cs="Helvetica"/>
          <w:color w:val="000000"/>
          <w:szCs w:val="20"/>
        </w:rPr>
        <w:t xml:space="preserve"> </w:t>
      </w:r>
      <w:r w:rsidR="00140A36" w:rsidRPr="0069787F">
        <w:rPr>
          <w:rFonts w:cs="Helvetica"/>
          <w:color w:val="000000"/>
          <w:szCs w:val="20"/>
        </w:rPr>
        <w:t>that are HH</w:t>
      </w:r>
      <w:r w:rsidR="000D5768" w:rsidRPr="0069787F">
        <w:rPr>
          <w:rFonts w:cs="Helvetica"/>
          <w:color w:val="000000"/>
          <w:szCs w:val="20"/>
        </w:rPr>
        <w:t xml:space="preserve"> metered are detailed in Annex 1</w:t>
      </w:r>
      <w:r w:rsidR="00140A36" w:rsidRPr="0069787F">
        <w:rPr>
          <w:rFonts w:cs="Helvetica"/>
          <w:color w:val="000000"/>
          <w:szCs w:val="20"/>
        </w:rPr>
        <w:t xml:space="preserve">. </w:t>
      </w:r>
      <w:r w:rsidR="00DE011F" w:rsidRPr="0069787F">
        <w:rPr>
          <w:rFonts w:cs="Helvetica"/>
          <w:color w:val="000000"/>
          <w:szCs w:val="20"/>
        </w:rPr>
        <w:t>Harlaxton Energy Networks</w:t>
      </w:r>
      <w:r w:rsidR="00140A36" w:rsidRPr="0069787F">
        <w:rPr>
          <w:rFonts w:cs="Helvetica"/>
          <w:color w:val="000000"/>
          <w:szCs w:val="20"/>
        </w:rPr>
        <w:t xml:space="preserve"> has not issued a notice to change the</w:t>
      </w:r>
      <w:r w:rsidR="00DE011F" w:rsidRPr="0069787F">
        <w:rPr>
          <w:rFonts w:cs="Helvetica"/>
          <w:color w:val="000000"/>
          <w:szCs w:val="20"/>
        </w:rPr>
        <w:t xml:space="preserve"> </w:t>
      </w:r>
      <w:r w:rsidR="00140A36" w:rsidRPr="0069787F">
        <w:rPr>
          <w:rFonts w:cs="Helvetica"/>
          <w:color w:val="000000"/>
          <w:szCs w:val="20"/>
        </w:rPr>
        <w:t>time bands.</w:t>
      </w:r>
    </w:p>
    <w:p w14:paraId="212398C6" w14:textId="77777777" w:rsidR="009D4058" w:rsidRPr="0069787F" w:rsidRDefault="009D4058" w:rsidP="00140A36">
      <w:pPr>
        <w:autoSpaceDE w:val="0"/>
        <w:autoSpaceDN w:val="0"/>
        <w:adjustRightInd w:val="0"/>
        <w:spacing w:after="0" w:line="240" w:lineRule="auto"/>
        <w:rPr>
          <w:rFonts w:cs="Helvetica"/>
          <w:color w:val="000000"/>
          <w:szCs w:val="20"/>
        </w:rPr>
      </w:pPr>
    </w:p>
    <w:p w14:paraId="6DA89C33" w14:textId="49DA0011"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31</w:t>
      </w:r>
      <w:r>
        <w:rPr>
          <w:rFonts w:cs="Helvetica"/>
          <w:color w:val="000000"/>
          <w:szCs w:val="20"/>
        </w:rPr>
        <w:t xml:space="preserve">. </w:t>
      </w:r>
      <w:r w:rsidR="00140A36" w:rsidRPr="0069787F">
        <w:rPr>
          <w:rFonts w:cs="Helvetica"/>
          <w:color w:val="000000"/>
          <w:szCs w:val="20"/>
        </w:rPr>
        <w:t>The time periods for the application of unit charges to Designated EHV Properties are</w:t>
      </w:r>
      <w:r w:rsidR="000D5768" w:rsidRPr="0069787F">
        <w:rPr>
          <w:rFonts w:cs="Helvetica"/>
          <w:color w:val="000000"/>
          <w:szCs w:val="20"/>
        </w:rPr>
        <w:t xml:space="preserve"> </w:t>
      </w:r>
      <w:r w:rsidR="00140A36" w:rsidRPr="0069787F">
        <w:rPr>
          <w:rFonts w:cs="Helvetica"/>
          <w:color w:val="000000"/>
          <w:szCs w:val="20"/>
        </w:rPr>
        <w:t xml:space="preserve">detailed in Annex 2. </w:t>
      </w:r>
      <w:r w:rsidR="000D5768" w:rsidRPr="0069787F">
        <w:rPr>
          <w:rFonts w:cs="Helvetica"/>
          <w:color w:val="000000"/>
          <w:szCs w:val="20"/>
        </w:rPr>
        <w:t xml:space="preserve">Harlaxton Energy Networks </w:t>
      </w:r>
      <w:r w:rsidR="00140A36" w:rsidRPr="0069787F">
        <w:rPr>
          <w:rFonts w:cs="Helvetica"/>
          <w:color w:val="000000"/>
          <w:szCs w:val="20"/>
        </w:rPr>
        <w:t>has not issued a notice to change the time bands.</w:t>
      </w:r>
    </w:p>
    <w:p w14:paraId="787D3A2C" w14:textId="77777777" w:rsidR="009D4058" w:rsidRPr="00DE011F" w:rsidRDefault="009D4058" w:rsidP="00140A36">
      <w:pPr>
        <w:autoSpaceDE w:val="0"/>
        <w:autoSpaceDN w:val="0"/>
        <w:adjustRightInd w:val="0"/>
        <w:spacing w:after="0" w:line="240" w:lineRule="auto"/>
        <w:rPr>
          <w:rFonts w:ascii="Book Antiqua" w:hAnsi="Book Antiqua" w:cs="Helvetica-Bold"/>
          <w:b/>
          <w:bCs/>
          <w:color w:val="000000"/>
          <w:sz w:val="28"/>
          <w:szCs w:val="24"/>
        </w:rPr>
      </w:pPr>
    </w:p>
    <w:p w14:paraId="772DAEAE" w14:textId="77777777" w:rsidR="00140A36" w:rsidRPr="00443EAF" w:rsidRDefault="00140A36" w:rsidP="00443EAF">
      <w:pPr>
        <w:pStyle w:val="Subtitle"/>
        <w:rPr>
          <w:sz w:val="24"/>
          <w:u w:val="single"/>
        </w:rPr>
      </w:pPr>
      <w:r w:rsidRPr="00443EAF">
        <w:rPr>
          <w:sz w:val="24"/>
          <w:u w:val="single"/>
        </w:rPr>
        <w:t>Time Periods for</w:t>
      </w:r>
      <w:r w:rsidR="00DB4A64">
        <w:rPr>
          <w:sz w:val="24"/>
          <w:u w:val="single"/>
        </w:rPr>
        <w:t xml:space="preserve"> Pseudo </w:t>
      </w:r>
      <w:r w:rsidRPr="00443EAF">
        <w:rPr>
          <w:sz w:val="24"/>
          <w:u w:val="single"/>
        </w:rPr>
        <w:t>HH Unmetered Properties</w:t>
      </w:r>
    </w:p>
    <w:p w14:paraId="2E933D6D" w14:textId="77777777"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14:paraId="61A84DF2" w14:textId="2A1B34C9"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32</w:t>
      </w:r>
      <w:r>
        <w:rPr>
          <w:rFonts w:cs="Helvetica"/>
          <w:color w:val="000000"/>
          <w:szCs w:val="20"/>
        </w:rPr>
        <w:t xml:space="preserve">. </w:t>
      </w:r>
      <w:r w:rsidR="00140A36" w:rsidRPr="0069787F">
        <w:rPr>
          <w:rFonts w:cs="Helvetica"/>
          <w:color w:val="000000"/>
          <w:szCs w:val="20"/>
        </w:rPr>
        <w:t>The time periods for the application of unit charges to connections that are Pseudo HH</w:t>
      </w:r>
      <w:r w:rsidR="000D5768" w:rsidRPr="0069787F">
        <w:rPr>
          <w:rFonts w:cs="Helvetica"/>
          <w:color w:val="000000"/>
          <w:szCs w:val="20"/>
        </w:rPr>
        <w:t xml:space="preserve"> </w:t>
      </w:r>
      <w:r w:rsidR="00140A36" w:rsidRPr="0069787F">
        <w:rPr>
          <w:rFonts w:cs="Helvetica"/>
          <w:color w:val="000000"/>
          <w:szCs w:val="20"/>
        </w:rPr>
        <w:t xml:space="preserve">Metered are detailed in Annex 1. </w:t>
      </w:r>
      <w:r w:rsidR="000D5768" w:rsidRPr="0069787F">
        <w:rPr>
          <w:rFonts w:cs="Helvetica"/>
          <w:color w:val="000000"/>
          <w:szCs w:val="20"/>
        </w:rPr>
        <w:t xml:space="preserve">Harlaxton Energy Networks </w:t>
      </w:r>
      <w:r w:rsidR="00140A36" w:rsidRPr="0069787F">
        <w:rPr>
          <w:rFonts w:cs="Helvetica"/>
          <w:color w:val="000000"/>
          <w:szCs w:val="20"/>
        </w:rPr>
        <w:t>has not issued a notice to change the time bands.</w:t>
      </w:r>
    </w:p>
    <w:p w14:paraId="10C32478" w14:textId="77777777" w:rsidR="009D4058" w:rsidRPr="000D5768" w:rsidRDefault="009D4058" w:rsidP="00140A36">
      <w:pPr>
        <w:autoSpaceDE w:val="0"/>
        <w:autoSpaceDN w:val="0"/>
        <w:adjustRightInd w:val="0"/>
        <w:spacing w:after="0" w:line="240" w:lineRule="auto"/>
        <w:rPr>
          <w:rFonts w:ascii="Book Antiqua" w:hAnsi="Book Antiqua" w:cs="Helvetica-Bold"/>
          <w:b/>
          <w:bCs/>
          <w:color w:val="000000"/>
          <w:sz w:val="28"/>
          <w:szCs w:val="24"/>
        </w:rPr>
      </w:pPr>
    </w:p>
    <w:p w14:paraId="295AC41F" w14:textId="77777777" w:rsidR="00140A36" w:rsidRPr="00443EAF" w:rsidRDefault="00140A36" w:rsidP="00443EAF">
      <w:pPr>
        <w:pStyle w:val="Subtitle"/>
        <w:rPr>
          <w:sz w:val="24"/>
          <w:u w:val="single"/>
        </w:rPr>
      </w:pPr>
      <w:r w:rsidRPr="00443EAF">
        <w:rPr>
          <w:sz w:val="24"/>
          <w:u w:val="single"/>
        </w:rPr>
        <w:t>Application of Capacity Charges</w:t>
      </w:r>
    </w:p>
    <w:p w14:paraId="1A229967" w14:textId="77777777" w:rsidR="009D4058" w:rsidRPr="00CD4EDF" w:rsidRDefault="009D4058" w:rsidP="00140A36">
      <w:pPr>
        <w:autoSpaceDE w:val="0"/>
        <w:autoSpaceDN w:val="0"/>
        <w:adjustRightInd w:val="0"/>
        <w:spacing w:after="0" w:line="240" w:lineRule="auto"/>
        <w:rPr>
          <w:rFonts w:ascii="Book Antiqua" w:hAnsi="Book Antiqua" w:cs="Helvetica"/>
          <w:color w:val="000000"/>
          <w:sz w:val="20"/>
          <w:szCs w:val="20"/>
        </w:rPr>
      </w:pPr>
    </w:p>
    <w:p w14:paraId="3C63CA7A" w14:textId="4A3762A8" w:rsidR="00140A36" w:rsidRPr="008308F2"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33</w:t>
      </w:r>
      <w:r>
        <w:rPr>
          <w:rFonts w:cs="Helvetica"/>
          <w:color w:val="000000"/>
          <w:szCs w:val="20"/>
        </w:rPr>
        <w:t xml:space="preserve">. </w:t>
      </w:r>
      <w:r w:rsidR="00140A36" w:rsidRPr="008308F2">
        <w:rPr>
          <w:rFonts w:cs="Helvetica"/>
          <w:color w:val="000000"/>
          <w:szCs w:val="20"/>
        </w:rPr>
        <w:t>The following sections explain the application of Capacity Charges and Exceeded Capacity</w:t>
      </w:r>
      <w:r w:rsidR="000D5768" w:rsidRPr="008308F2">
        <w:rPr>
          <w:rFonts w:cs="Helvetica"/>
          <w:color w:val="000000"/>
          <w:szCs w:val="20"/>
        </w:rPr>
        <w:t xml:space="preserve"> </w:t>
      </w:r>
      <w:r w:rsidR="00140A36" w:rsidRPr="008308F2">
        <w:rPr>
          <w:rFonts w:cs="Helvetica"/>
          <w:color w:val="000000"/>
          <w:szCs w:val="20"/>
        </w:rPr>
        <w:t>Charges.</w:t>
      </w:r>
    </w:p>
    <w:p w14:paraId="5B5B7DCA" w14:textId="77777777" w:rsidR="008D0F41" w:rsidRDefault="008D0F41" w:rsidP="00443EAF">
      <w:pPr>
        <w:pStyle w:val="Subtitle"/>
        <w:rPr>
          <w:sz w:val="24"/>
          <w:u w:val="single"/>
        </w:rPr>
      </w:pPr>
    </w:p>
    <w:p w14:paraId="5FF5958F" w14:textId="77777777" w:rsidR="000D5768" w:rsidRPr="00443EAF" w:rsidRDefault="000D5768" w:rsidP="00443EAF">
      <w:pPr>
        <w:pStyle w:val="Subtitle"/>
        <w:rPr>
          <w:sz w:val="24"/>
          <w:u w:val="single"/>
        </w:rPr>
      </w:pPr>
      <w:r w:rsidRPr="00443EAF">
        <w:rPr>
          <w:sz w:val="24"/>
          <w:u w:val="single"/>
        </w:rPr>
        <w:t>Chargeable Capacity</w:t>
      </w:r>
    </w:p>
    <w:p w14:paraId="6B776D5B" w14:textId="77777777" w:rsidR="000D5768" w:rsidRPr="00CD4EDF" w:rsidRDefault="000D5768" w:rsidP="000D5768">
      <w:pPr>
        <w:autoSpaceDE w:val="0"/>
        <w:autoSpaceDN w:val="0"/>
        <w:adjustRightInd w:val="0"/>
        <w:spacing w:after="0" w:line="240" w:lineRule="auto"/>
        <w:rPr>
          <w:rFonts w:ascii="Book Antiqua" w:hAnsi="Book Antiqua" w:cs="Helvetica"/>
          <w:color w:val="000000"/>
          <w:sz w:val="20"/>
          <w:szCs w:val="20"/>
        </w:rPr>
      </w:pPr>
    </w:p>
    <w:p w14:paraId="5FAB372A" w14:textId="62CCA749" w:rsidR="000D5768" w:rsidRPr="0069787F" w:rsidRDefault="00377F62" w:rsidP="000D5768">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34</w:t>
      </w:r>
      <w:r w:rsidR="006B119E">
        <w:rPr>
          <w:rFonts w:cs="Helvetica"/>
          <w:color w:val="000000"/>
          <w:szCs w:val="20"/>
        </w:rPr>
        <w:t xml:space="preserve">. </w:t>
      </w:r>
      <w:r w:rsidR="000D5768" w:rsidRPr="0069787F">
        <w:rPr>
          <w:rFonts w:cs="Helvetica"/>
          <w:color w:val="000000"/>
          <w:szCs w:val="20"/>
        </w:rPr>
        <w:t>The Chargeable Capacity is, for each billing period, the highest of the MIC/MEC as detailed below.</w:t>
      </w:r>
    </w:p>
    <w:p w14:paraId="467030E1" w14:textId="77777777" w:rsidR="0082533E" w:rsidRPr="00EF3EB1" w:rsidRDefault="0082533E" w:rsidP="000D5768">
      <w:pPr>
        <w:autoSpaceDE w:val="0"/>
        <w:autoSpaceDN w:val="0"/>
        <w:adjustRightInd w:val="0"/>
        <w:spacing w:after="0" w:line="240" w:lineRule="auto"/>
        <w:rPr>
          <w:rFonts w:ascii="Book Antiqua" w:hAnsi="Book Antiqua" w:cs="Helvetica"/>
          <w:sz w:val="16"/>
          <w:szCs w:val="16"/>
        </w:rPr>
      </w:pPr>
    </w:p>
    <w:p w14:paraId="3FAB9A07" w14:textId="77777777" w:rsidR="009715CB" w:rsidRDefault="009715CB" w:rsidP="000D5768">
      <w:pPr>
        <w:autoSpaceDE w:val="0"/>
        <w:autoSpaceDN w:val="0"/>
        <w:adjustRightInd w:val="0"/>
        <w:spacing w:after="0" w:line="240" w:lineRule="auto"/>
        <w:rPr>
          <w:rFonts w:cs="Helvetica"/>
          <w:color w:val="000000"/>
          <w:szCs w:val="20"/>
        </w:rPr>
      </w:pPr>
    </w:p>
    <w:p w14:paraId="3540CAD2" w14:textId="77777777" w:rsidR="009715CB" w:rsidRDefault="009715CB" w:rsidP="000D5768">
      <w:pPr>
        <w:autoSpaceDE w:val="0"/>
        <w:autoSpaceDN w:val="0"/>
        <w:adjustRightInd w:val="0"/>
        <w:spacing w:after="0" w:line="240" w:lineRule="auto"/>
        <w:rPr>
          <w:rFonts w:cs="Helvetica"/>
          <w:color w:val="000000"/>
          <w:szCs w:val="20"/>
        </w:rPr>
      </w:pPr>
    </w:p>
    <w:p w14:paraId="11B1B0AF" w14:textId="77777777" w:rsidR="009715CB" w:rsidRDefault="009715CB" w:rsidP="000D5768">
      <w:pPr>
        <w:autoSpaceDE w:val="0"/>
        <w:autoSpaceDN w:val="0"/>
        <w:adjustRightInd w:val="0"/>
        <w:spacing w:after="0" w:line="240" w:lineRule="auto"/>
        <w:rPr>
          <w:rFonts w:cs="Helvetica"/>
          <w:color w:val="000000"/>
          <w:szCs w:val="20"/>
        </w:rPr>
      </w:pPr>
    </w:p>
    <w:p w14:paraId="68D3ED9B" w14:textId="77777777" w:rsidR="009715CB" w:rsidRDefault="009715CB" w:rsidP="000D5768">
      <w:pPr>
        <w:autoSpaceDE w:val="0"/>
        <w:autoSpaceDN w:val="0"/>
        <w:adjustRightInd w:val="0"/>
        <w:spacing w:after="0" w:line="240" w:lineRule="auto"/>
        <w:rPr>
          <w:rFonts w:cs="Helvetica"/>
          <w:color w:val="000000"/>
          <w:szCs w:val="20"/>
        </w:rPr>
      </w:pPr>
    </w:p>
    <w:p w14:paraId="591013C9" w14:textId="4249E754" w:rsidR="00CB7DB4" w:rsidRDefault="00377F62" w:rsidP="000D5768">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35</w:t>
      </w:r>
      <w:r w:rsidR="006B119E">
        <w:rPr>
          <w:rFonts w:cs="Helvetica"/>
          <w:color w:val="000000"/>
          <w:szCs w:val="20"/>
        </w:rPr>
        <w:t xml:space="preserve">. </w:t>
      </w:r>
      <w:r w:rsidR="000D5768" w:rsidRPr="0069787F">
        <w:rPr>
          <w:rFonts w:cs="Helvetica"/>
          <w:color w:val="000000"/>
          <w:szCs w:val="20"/>
        </w:rPr>
        <w:t>The MIC/MEC will be agreed with Harlaxton Energy Networks at the time of connection or pursuant to a later change in requirements. Following such an agreement (be it at the time of connection or later) no reduction in MIC/MEC will be allowed for a period of one year.</w:t>
      </w:r>
    </w:p>
    <w:p w14:paraId="58D3DD03" w14:textId="77777777" w:rsidR="008308F2" w:rsidRDefault="008308F2" w:rsidP="000D5768">
      <w:pPr>
        <w:autoSpaceDE w:val="0"/>
        <w:autoSpaceDN w:val="0"/>
        <w:adjustRightInd w:val="0"/>
        <w:spacing w:after="0" w:line="240" w:lineRule="auto"/>
        <w:rPr>
          <w:rFonts w:cs="Helvetica"/>
          <w:color w:val="000000"/>
          <w:szCs w:val="20"/>
        </w:rPr>
      </w:pPr>
    </w:p>
    <w:p w14:paraId="52D29182" w14:textId="2F753921" w:rsidR="008308F2" w:rsidRPr="0069787F" w:rsidRDefault="00377F62" w:rsidP="008308F2">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36</w:t>
      </w:r>
      <w:r w:rsidR="006B119E">
        <w:rPr>
          <w:rFonts w:cs="Helvetica"/>
          <w:color w:val="000000"/>
          <w:szCs w:val="20"/>
        </w:rPr>
        <w:t xml:space="preserve">. </w:t>
      </w:r>
      <w:r w:rsidR="008308F2" w:rsidRPr="0069787F">
        <w:rPr>
          <w:rFonts w:cs="Helvetica"/>
          <w:color w:val="000000"/>
          <w:szCs w:val="20"/>
        </w:rPr>
        <w:t>Reductions to the MIC/MEC may only be permitted once in a 12 month period and no retrospective changes will be allowed. Where MIC/MEC is reduced the new lower level will be agreed with reference to the level of the Customer’s maximum demand. It should be noted that where a new lower level is agreed the original capacity may not be available in the future without the need for network reinforcement and associated charges.</w:t>
      </w:r>
    </w:p>
    <w:p w14:paraId="732504C3" w14:textId="77777777" w:rsidR="00CB7DB4" w:rsidRPr="0069787F" w:rsidRDefault="00CB7DB4" w:rsidP="000D5768">
      <w:pPr>
        <w:autoSpaceDE w:val="0"/>
        <w:autoSpaceDN w:val="0"/>
        <w:adjustRightInd w:val="0"/>
        <w:spacing w:after="0" w:line="240" w:lineRule="auto"/>
        <w:rPr>
          <w:rFonts w:cs="Helvetica"/>
          <w:color w:val="000000"/>
          <w:szCs w:val="20"/>
        </w:rPr>
      </w:pPr>
    </w:p>
    <w:p w14:paraId="6E349330" w14:textId="652CCD01" w:rsidR="002F3146" w:rsidRDefault="006B119E" w:rsidP="000D5768">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37</w:t>
      </w:r>
      <w:r>
        <w:rPr>
          <w:rFonts w:cs="Helvetica"/>
          <w:color w:val="000000"/>
          <w:szCs w:val="20"/>
        </w:rPr>
        <w:t xml:space="preserve">. </w:t>
      </w:r>
      <w:r w:rsidR="000D5768" w:rsidRPr="0069787F">
        <w:rPr>
          <w:rFonts w:cs="Helvetica"/>
          <w:color w:val="000000"/>
          <w:szCs w:val="20"/>
        </w:rPr>
        <w:t xml:space="preserve">In the absence of an agreement the chargeable capacity, save for error or omission, will be based on the last MIC and/or MEC previously agreed by the distributor for the relevant premises connection. A Customer can seek to </w:t>
      </w:r>
    </w:p>
    <w:p w14:paraId="71FF9D6F" w14:textId="77777777" w:rsidR="002F3146" w:rsidRDefault="002F3146" w:rsidP="000D5768">
      <w:pPr>
        <w:autoSpaceDE w:val="0"/>
        <w:autoSpaceDN w:val="0"/>
        <w:adjustRightInd w:val="0"/>
        <w:spacing w:after="0" w:line="240" w:lineRule="auto"/>
        <w:rPr>
          <w:rFonts w:cs="Helvetica"/>
          <w:color w:val="000000"/>
          <w:szCs w:val="20"/>
        </w:rPr>
      </w:pPr>
    </w:p>
    <w:p w14:paraId="7647950C" w14:textId="77777777" w:rsidR="002F3146" w:rsidRDefault="002F3146" w:rsidP="000D5768">
      <w:pPr>
        <w:autoSpaceDE w:val="0"/>
        <w:autoSpaceDN w:val="0"/>
        <w:adjustRightInd w:val="0"/>
        <w:spacing w:after="0" w:line="240" w:lineRule="auto"/>
        <w:rPr>
          <w:rFonts w:cs="Helvetica"/>
          <w:color w:val="000000"/>
          <w:szCs w:val="20"/>
        </w:rPr>
      </w:pPr>
    </w:p>
    <w:p w14:paraId="332DD297" w14:textId="77777777" w:rsidR="000D5768" w:rsidRPr="0069787F" w:rsidRDefault="000D5768" w:rsidP="000D5768">
      <w:pPr>
        <w:autoSpaceDE w:val="0"/>
        <w:autoSpaceDN w:val="0"/>
        <w:adjustRightInd w:val="0"/>
        <w:spacing w:after="0" w:line="240" w:lineRule="auto"/>
        <w:rPr>
          <w:rFonts w:cs="Helvetica"/>
          <w:color w:val="000000"/>
          <w:szCs w:val="20"/>
        </w:rPr>
      </w:pPr>
      <w:r w:rsidRPr="0069787F">
        <w:rPr>
          <w:rFonts w:cs="Helvetica"/>
          <w:color w:val="000000"/>
          <w:szCs w:val="20"/>
        </w:rPr>
        <w:t xml:space="preserve">agree or vary the MIC and/or MEC by contacting Harlaxton Energy Networks using contact details </w:t>
      </w:r>
      <w:r w:rsidR="00CB7DB4" w:rsidRPr="0069787F">
        <w:rPr>
          <w:rFonts w:cs="Helvetica"/>
          <w:color w:val="000000"/>
          <w:szCs w:val="20"/>
        </w:rPr>
        <w:t xml:space="preserve">noted within this statement. </w:t>
      </w:r>
    </w:p>
    <w:p w14:paraId="7FF4AD9D" w14:textId="77777777" w:rsidR="000D5768" w:rsidRPr="0069787F" w:rsidRDefault="000D5768" w:rsidP="000D5768">
      <w:pPr>
        <w:autoSpaceDE w:val="0"/>
        <w:autoSpaceDN w:val="0"/>
        <w:adjustRightInd w:val="0"/>
        <w:spacing w:after="0" w:line="240" w:lineRule="auto"/>
        <w:rPr>
          <w:rFonts w:cs="Helvetica-Bold"/>
          <w:b/>
          <w:bCs/>
          <w:color w:val="000000"/>
          <w:sz w:val="24"/>
        </w:rPr>
      </w:pPr>
    </w:p>
    <w:p w14:paraId="68B55A2B" w14:textId="77777777" w:rsidR="000D5768" w:rsidRPr="00443EAF" w:rsidRDefault="000D5768" w:rsidP="00443EAF">
      <w:pPr>
        <w:pStyle w:val="Subtitle"/>
        <w:rPr>
          <w:sz w:val="24"/>
          <w:u w:val="single"/>
        </w:rPr>
      </w:pPr>
      <w:r w:rsidRPr="00443EAF">
        <w:rPr>
          <w:sz w:val="24"/>
          <w:u w:val="single"/>
        </w:rPr>
        <w:t>Exceeded Capacity</w:t>
      </w:r>
    </w:p>
    <w:p w14:paraId="10510076" w14:textId="77777777" w:rsidR="000D5768" w:rsidRPr="0069787F" w:rsidRDefault="000D5768" w:rsidP="000D5768">
      <w:pPr>
        <w:autoSpaceDE w:val="0"/>
        <w:autoSpaceDN w:val="0"/>
        <w:adjustRightInd w:val="0"/>
        <w:spacing w:after="0" w:line="240" w:lineRule="auto"/>
        <w:rPr>
          <w:rFonts w:cs="Helvetica"/>
          <w:color w:val="000000"/>
          <w:sz w:val="20"/>
          <w:szCs w:val="20"/>
        </w:rPr>
      </w:pPr>
    </w:p>
    <w:p w14:paraId="0E8B645F" w14:textId="53EECA94" w:rsidR="000D5768" w:rsidRPr="0069787F" w:rsidRDefault="00377F62" w:rsidP="000D5768">
      <w:pPr>
        <w:autoSpaceDE w:val="0"/>
        <w:autoSpaceDN w:val="0"/>
        <w:adjustRightInd w:val="0"/>
        <w:spacing w:after="0" w:line="240" w:lineRule="auto"/>
        <w:rPr>
          <w:rFonts w:cs="Helvetica"/>
          <w:color w:val="000000"/>
        </w:rPr>
      </w:pPr>
      <w:r>
        <w:rPr>
          <w:rFonts w:cs="Helvetica"/>
          <w:color w:val="000000"/>
        </w:rPr>
        <w:t>2.</w:t>
      </w:r>
      <w:r w:rsidR="00632ACD">
        <w:rPr>
          <w:rFonts w:cs="Helvetica"/>
          <w:color w:val="000000"/>
        </w:rPr>
        <w:t>38</w:t>
      </w:r>
      <w:r w:rsidR="006B119E">
        <w:rPr>
          <w:rFonts w:cs="Helvetica"/>
          <w:color w:val="000000"/>
        </w:rPr>
        <w:t xml:space="preserve">. </w:t>
      </w:r>
      <w:r w:rsidR="000D5768" w:rsidRPr="0069787F">
        <w:rPr>
          <w:rFonts w:cs="Helvetica"/>
          <w:color w:val="000000"/>
        </w:rPr>
        <w:t>Where a customer takes additional unauthorised capacity over and above the MIC/MEC, the excess will be classed as Exceeded Capacity. The exceeded portion of the capacity will be charged at the excess capacity charge p/kVA/day rate, based on the difference between the MIC/MEC and the actual capacity used. This will be charged for the full duration of the month in which the breach occurs.</w:t>
      </w:r>
    </w:p>
    <w:p w14:paraId="14963827" w14:textId="77777777" w:rsidR="00CB0F28" w:rsidRPr="0069787F" w:rsidRDefault="00CB0F28" w:rsidP="00CB0F28">
      <w:pPr>
        <w:autoSpaceDE w:val="0"/>
        <w:autoSpaceDN w:val="0"/>
        <w:adjustRightInd w:val="0"/>
        <w:spacing w:after="0" w:line="240" w:lineRule="auto"/>
        <w:rPr>
          <w:rFonts w:cs="Helvetica"/>
          <w:color w:val="000000"/>
          <w:sz w:val="20"/>
          <w:szCs w:val="20"/>
        </w:rPr>
      </w:pPr>
    </w:p>
    <w:p w14:paraId="61F4E704" w14:textId="77777777" w:rsidR="00E1246A" w:rsidRPr="00443EAF" w:rsidRDefault="00E1246A" w:rsidP="00443EAF">
      <w:pPr>
        <w:pStyle w:val="Subtitle"/>
        <w:rPr>
          <w:sz w:val="24"/>
          <w:u w:val="single"/>
        </w:rPr>
      </w:pPr>
      <w:r w:rsidRPr="00443EAF">
        <w:rPr>
          <w:sz w:val="24"/>
          <w:u w:val="single"/>
        </w:rPr>
        <w:t>Demand Exceeded Capacity</w:t>
      </w:r>
    </w:p>
    <w:p w14:paraId="0B4F5CCC" w14:textId="03EA1065" w:rsidR="00E1246A" w:rsidRPr="0069787F" w:rsidRDefault="00D62406" w:rsidP="00E1246A">
      <w:pPr>
        <w:autoSpaceDE w:val="0"/>
        <w:autoSpaceDN w:val="0"/>
        <w:adjustRightInd w:val="0"/>
        <w:spacing w:after="0" w:line="240" w:lineRule="auto"/>
        <w:rPr>
          <w:rFonts w:cs="Helvetica"/>
          <w:color w:val="000000"/>
          <w:sz w:val="20"/>
          <w:szCs w:val="20"/>
        </w:rPr>
      </w:pPr>
      <w:r>
        <w:rPr>
          <w:rFonts w:cs="Helvetica"/>
          <w:noProof/>
          <w:color w:val="000000"/>
          <w:sz w:val="20"/>
          <w:szCs w:val="20"/>
          <w:lang w:eastAsia="en-GB"/>
        </w:rPr>
        <mc:AlternateContent>
          <mc:Choice Requires="wps">
            <w:drawing>
              <wp:anchor distT="0" distB="0" distL="114300" distR="114300" simplePos="0" relativeHeight="251660288" behindDoc="0" locked="0" layoutInCell="1" allowOverlap="1" wp14:anchorId="4583B66D" wp14:editId="3B55D4DD">
                <wp:simplePos x="0" y="0"/>
                <wp:positionH relativeFrom="column">
                  <wp:posOffset>2093495</wp:posOffset>
                </wp:positionH>
                <wp:positionV relativeFrom="paragraph">
                  <wp:posOffset>41108</wp:posOffset>
                </wp:positionV>
                <wp:extent cx="85558" cy="192037"/>
                <wp:effectExtent l="0" t="0" r="10160" b="17780"/>
                <wp:wrapNone/>
                <wp:docPr id="4" name="Rectangle 4"/>
                <wp:cNvGraphicFramePr/>
                <a:graphic xmlns:a="http://schemas.openxmlformats.org/drawingml/2006/main">
                  <a:graphicData uri="http://schemas.microsoft.com/office/word/2010/wordprocessingShape">
                    <wps:wsp>
                      <wps:cNvSpPr/>
                      <wps:spPr>
                        <a:xfrm>
                          <a:off x="0" y="0"/>
                          <a:ext cx="85558" cy="1920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BB418" id="Rectangle 4" o:spid="_x0000_s1026" style="position:absolute;margin-left:164.85pt;margin-top:3.25pt;width:6.7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" fillcolor="white [3212]" strokecolor="white [3212]" strokeweight="1pt"/>
            </w:pict>
          </mc:Fallback>
        </mc:AlternateContent>
      </w:r>
    </w:p>
    <w:p w14:paraId="7EA7B780" w14:textId="503CAFF6" w:rsidR="00E1246A" w:rsidRPr="0069787F" w:rsidRDefault="00D62406" w:rsidP="00E1246A">
      <w:pPr>
        <w:autoSpaceDE w:val="0"/>
        <w:autoSpaceDN w:val="0"/>
        <w:adjustRightInd w:val="0"/>
        <w:spacing w:after="0" w:line="240" w:lineRule="auto"/>
        <w:rPr>
          <w:rFonts w:cs="Helvetica"/>
          <w:color w:val="000000"/>
          <w:szCs w:val="20"/>
        </w:rPr>
      </w:pPr>
      <w:r>
        <w:rPr>
          <w:rFonts w:cs="Helvetica"/>
          <w:noProof/>
          <w:color w:val="000000"/>
          <w:szCs w:val="20"/>
          <w:lang w:eastAsia="en-GB"/>
        </w:rPr>
        <mc:AlternateContent>
          <mc:Choice Requires="wps">
            <w:drawing>
              <wp:anchor distT="0" distB="0" distL="114300" distR="114300" simplePos="0" relativeHeight="251659264" behindDoc="0" locked="0" layoutInCell="1" allowOverlap="1" wp14:anchorId="43375D8A" wp14:editId="057A6935">
                <wp:simplePos x="0" y="0"/>
                <wp:positionH relativeFrom="column">
                  <wp:posOffset>2243221</wp:posOffset>
                </wp:positionH>
                <wp:positionV relativeFrom="paragraph">
                  <wp:posOffset>67977</wp:posOffset>
                </wp:positionV>
                <wp:extent cx="112295" cy="251327"/>
                <wp:effectExtent l="0" t="0" r="2540" b="0"/>
                <wp:wrapNone/>
                <wp:docPr id="2" name="Rectangle 2"/>
                <wp:cNvGraphicFramePr/>
                <a:graphic xmlns:a="http://schemas.openxmlformats.org/drawingml/2006/main">
                  <a:graphicData uri="http://schemas.microsoft.com/office/word/2010/wordprocessingShape">
                    <wps:wsp>
                      <wps:cNvSpPr/>
                      <wps:spPr>
                        <a:xfrm>
                          <a:off x="0" y="0"/>
                          <a:ext cx="112295" cy="25132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7E898" id="Rectangle 2" o:spid="_x0000_s1026" style="position:absolute;margin-left:176.65pt;margin-top:5.35pt;width:8.8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" fillcolor="white [3212]" stroked="f" strokeweight="1pt"/>
            </w:pict>
          </mc:Fallback>
        </mc:AlternateContent>
      </w:r>
      <w:r w:rsidR="00E1246A" w:rsidRPr="0069787F">
        <w:rPr>
          <w:rFonts w:cs="Helvetica"/>
          <w:color w:val="000000"/>
          <w:szCs w:val="20"/>
        </w:rPr>
        <w:t>Demand exceeded capacity = max(2x</w:t>
      </w:r>
      <m:oMath>
        <m:rad>
          <m:radPr>
            <m:ctrlPr>
              <w:rPr>
                <w:rFonts w:ascii="Cambria Math" w:hAnsi="Cambria Math" w:cs="Helvetica"/>
                <w:i/>
                <w:color w:val="000000"/>
                <w:szCs w:val="20"/>
              </w:rPr>
            </m:ctrlPr>
          </m:radPr>
          <m:deg/>
          <m:e/>
        </m:rad>
      </m:oMath>
      <w:r w:rsidR="00E1246A" w:rsidRPr="0069787F">
        <w:rPr>
          <w:rFonts w:eastAsiaTheme="minorEastAsia" w:cs="Helvetica"/>
          <w:color w:val="000000"/>
          <w:szCs w:val="20"/>
        </w:rPr>
        <w:t>A</w:t>
      </w:r>
      <w:r w:rsidR="00417461">
        <w:rPr>
          <w:rFonts w:eastAsiaTheme="minorEastAsia" w:cs="Helvetica"/>
          <w:color w:val="000000"/>
          <w:szCs w:val="20"/>
        </w:rPr>
        <w:t>I</w:t>
      </w:r>
      <w:r w:rsidR="00E1246A" w:rsidRPr="0069787F">
        <w:rPr>
          <w:rFonts w:eastAsiaTheme="minorEastAsia" w:cs="Helvetica"/>
          <w:color w:val="000000"/>
          <w:szCs w:val="20"/>
        </w:rPr>
        <w:t>²+max(RI,RE) ²-MIC,0)</w:t>
      </w:r>
    </w:p>
    <w:p w14:paraId="0337AEF4" w14:textId="77777777" w:rsidR="00E1246A" w:rsidRPr="0069787F" w:rsidRDefault="00E1246A" w:rsidP="00140A36">
      <w:pPr>
        <w:autoSpaceDE w:val="0"/>
        <w:autoSpaceDN w:val="0"/>
        <w:adjustRightInd w:val="0"/>
        <w:spacing w:after="0" w:line="240" w:lineRule="auto"/>
        <w:rPr>
          <w:rFonts w:cs="Helvetica"/>
          <w:color w:val="000000"/>
          <w:sz w:val="20"/>
          <w:szCs w:val="20"/>
        </w:rPr>
      </w:pPr>
    </w:p>
    <w:p w14:paraId="0A3F6717"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Where:</w:t>
      </w:r>
    </w:p>
    <w:p w14:paraId="3D62836C" w14:textId="77777777" w:rsidR="009D4058" w:rsidRPr="0069787F" w:rsidRDefault="009D4058" w:rsidP="00BD746D">
      <w:pPr>
        <w:autoSpaceDE w:val="0"/>
        <w:autoSpaceDN w:val="0"/>
        <w:adjustRightInd w:val="0"/>
        <w:spacing w:after="0" w:line="240" w:lineRule="auto"/>
        <w:ind w:firstLine="720"/>
        <w:rPr>
          <w:rFonts w:cs="Helvetica"/>
          <w:color w:val="000000"/>
          <w:szCs w:val="20"/>
        </w:rPr>
      </w:pPr>
    </w:p>
    <w:p w14:paraId="07589B33"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AI = Active Import (kWh)</w:t>
      </w:r>
    </w:p>
    <w:p w14:paraId="6D4696F7" w14:textId="77777777" w:rsidR="009D4058" w:rsidRPr="0069787F" w:rsidRDefault="009D4058" w:rsidP="00140A36">
      <w:pPr>
        <w:autoSpaceDE w:val="0"/>
        <w:autoSpaceDN w:val="0"/>
        <w:adjustRightInd w:val="0"/>
        <w:spacing w:after="0" w:line="240" w:lineRule="auto"/>
        <w:rPr>
          <w:rFonts w:cs="Helvetica"/>
          <w:color w:val="000000"/>
          <w:szCs w:val="20"/>
        </w:rPr>
      </w:pPr>
    </w:p>
    <w:p w14:paraId="481A7EB6"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RI = Reactive Import (kVArh)</w:t>
      </w:r>
    </w:p>
    <w:p w14:paraId="3B7BE50F" w14:textId="77777777" w:rsidR="009D4058" w:rsidRPr="0069787F" w:rsidRDefault="009D4058" w:rsidP="00140A36">
      <w:pPr>
        <w:autoSpaceDE w:val="0"/>
        <w:autoSpaceDN w:val="0"/>
        <w:adjustRightInd w:val="0"/>
        <w:spacing w:after="0" w:line="240" w:lineRule="auto"/>
        <w:rPr>
          <w:rFonts w:cs="Helvetica"/>
          <w:color w:val="000000"/>
          <w:szCs w:val="20"/>
        </w:rPr>
      </w:pPr>
    </w:p>
    <w:p w14:paraId="1B0F3B3B"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RE = Reactive Export (kVArh)</w:t>
      </w:r>
    </w:p>
    <w:p w14:paraId="3260048D" w14:textId="77777777" w:rsidR="009D4058" w:rsidRPr="0069787F" w:rsidRDefault="009D4058" w:rsidP="00140A36">
      <w:pPr>
        <w:autoSpaceDE w:val="0"/>
        <w:autoSpaceDN w:val="0"/>
        <w:adjustRightInd w:val="0"/>
        <w:spacing w:after="0" w:line="240" w:lineRule="auto"/>
        <w:rPr>
          <w:rFonts w:cs="Helvetica"/>
          <w:color w:val="000000"/>
          <w:szCs w:val="20"/>
        </w:rPr>
      </w:pPr>
    </w:p>
    <w:p w14:paraId="289B5EF4"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MIC = Maximum Import Capacity (kVA)</w:t>
      </w:r>
    </w:p>
    <w:p w14:paraId="6B968649" w14:textId="77777777" w:rsidR="009D4058" w:rsidRPr="0069787F" w:rsidRDefault="009D4058" w:rsidP="00140A36">
      <w:pPr>
        <w:autoSpaceDE w:val="0"/>
        <w:autoSpaceDN w:val="0"/>
        <w:adjustRightInd w:val="0"/>
        <w:spacing w:after="0" w:line="240" w:lineRule="auto"/>
        <w:rPr>
          <w:rFonts w:cs="Helvetica"/>
          <w:color w:val="000000"/>
          <w:szCs w:val="20"/>
        </w:rPr>
      </w:pPr>
    </w:p>
    <w:p w14:paraId="08AAA1F3" w14:textId="129A3B92"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39</w:t>
      </w:r>
      <w:r>
        <w:rPr>
          <w:rFonts w:cs="Helvetica"/>
          <w:color w:val="000000"/>
          <w:szCs w:val="20"/>
        </w:rPr>
        <w:t xml:space="preserve">. </w:t>
      </w:r>
      <w:r w:rsidR="00140A36" w:rsidRPr="0069787F">
        <w:rPr>
          <w:rFonts w:cs="Helvetica"/>
          <w:color w:val="000000"/>
          <w:szCs w:val="20"/>
        </w:rPr>
        <w:t>Only reactive import and reactive export values occurring at times of active import are used</w:t>
      </w:r>
      <w:r w:rsidR="00E1246A" w:rsidRPr="0069787F">
        <w:rPr>
          <w:rFonts w:cs="Helvetica"/>
          <w:color w:val="000000"/>
          <w:szCs w:val="20"/>
        </w:rPr>
        <w:t xml:space="preserve"> </w:t>
      </w:r>
      <w:r w:rsidR="00140A36" w:rsidRPr="0069787F">
        <w:rPr>
          <w:rFonts w:cs="Helvetica"/>
          <w:color w:val="000000"/>
          <w:szCs w:val="20"/>
        </w:rPr>
        <w:t>in the calculation.</w:t>
      </w:r>
      <w:r w:rsidR="00CB7DB4" w:rsidRPr="0069787F">
        <w:rPr>
          <w:rFonts w:cs="Helvetica"/>
          <w:color w:val="000000"/>
          <w:szCs w:val="20"/>
        </w:rPr>
        <w:t xml:space="preserve"> Where data from two or more MPAN’s is aggregated for billing purposes the HH consumption value</w:t>
      </w:r>
      <w:r w:rsidR="003750EC">
        <w:rPr>
          <w:rFonts w:cs="Helvetica"/>
          <w:color w:val="000000"/>
          <w:szCs w:val="20"/>
        </w:rPr>
        <w:t>s</w:t>
      </w:r>
      <w:r w:rsidR="00CB7DB4" w:rsidRPr="0069787F">
        <w:rPr>
          <w:rFonts w:cs="Helvetica"/>
          <w:color w:val="000000"/>
          <w:szCs w:val="20"/>
        </w:rPr>
        <w:t xml:space="preserve"> are submitted prior to the calculation above. For sites which are importing and exporting in the same HH, i.e. where active import is not equal to zero and active export i</w:t>
      </w:r>
      <w:r w:rsidR="00507011">
        <w:rPr>
          <w:rFonts w:cs="Helvetica"/>
          <w:color w:val="000000"/>
          <w:szCs w:val="20"/>
        </w:rPr>
        <w:t>s</w:t>
      </w:r>
      <w:r w:rsidR="00CB7DB4" w:rsidRPr="0069787F">
        <w:rPr>
          <w:rFonts w:cs="Helvetica"/>
          <w:color w:val="000000"/>
          <w:szCs w:val="20"/>
        </w:rPr>
        <w:t xml:space="preserve"> not equal to zero, use zero for reactive import and reactive export when calculating capacity taken. </w:t>
      </w:r>
    </w:p>
    <w:p w14:paraId="15138B78" w14:textId="77777777" w:rsidR="009D4058" w:rsidRPr="0069787F" w:rsidRDefault="009D4058" w:rsidP="00140A36">
      <w:pPr>
        <w:autoSpaceDE w:val="0"/>
        <w:autoSpaceDN w:val="0"/>
        <w:adjustRightInd w:val="0"/>
        <w:spacing w:after="0" w:line="240" w:lineRule="auto"/>
        <w:rPr>
          <w:rFonts w:cs="Helvetica"/>
          <w:color w:val="000000"/>
          <w:szCs w:val="20"/>
        </w:rPr>
      </w:pPr>
    </w:p>
    <w:p w14:paraId="29DA4A2B" w14:textId="18D67388"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2.</w:t>
      </w:r>
      <w:r w:rsidR="00632ACD">
        <w:rPr>
          <w:rFonts w:cs="Helvetica"/>
          <w:color w:val="000000"/>
        </w:rPr>
        <w:t>40</w:t>
      </w:r>
      <w:r>
        <w:rPr>
          <w:rFonts w:cs="Helvetica"/>
          <w:color w:val="000000"/>
        </w:rPr>
        <w:t xml:space="preserve">. </w:t>
      </w:r>
      <w:r w:rsidR="00140A36" w:rsidRPr="0069787F">
        <w:rPr>
          <w:rFonts w:cs="Helvetica"/>
          <w:color w:val="000000"/>
        </w:rPr>
        <w:t>This calculation is completed for every half hour and the maximum value from the billing</w:t>
      </w:r>
      <w:r w:rsidR="00E1246A" w:rsidRPr="0069787F">
        <w:rPr>
          <w:rFonts w:cs="Helvetica"/>
          <w:color w:val="000000"/>
        </w:rPr>
        <w:t xml:space="preserve"> </w:t>
      </w:r>
      <w:r w:rsidR="00140A36" w:rsidRPr="0069787F">
        <w:rPr>
          <w:rFonts w:cs="Helvetica"/>
          <w:color w:val="000000"/>
        </w:rPr>
        <w:t>period is applied.</w:t>
      </w:r>
    </w:p>
    <w:p w14:paraId="365C29B7" w14:textId="77777777" w:rsidR="002350FF" w:rsidRPr="00CD4EDF" w:rsidRDefault="002350FF" w:rsidP="00140A36">
      <w:pPr>
        <w:autoSpaceDE w:val="0"/>
        <w:autoSpaceDN w:val="0"/>
        <w:adjustRightInd w:val="0"/>
        <w:spacing w:after="0" w:line="240" w:lineRule="auto"/>
        <w:rPr>
          <w:rFonts w:ascii="Book Antiqua" w:hAnsi="Book Antiqua" w:cs="Helvetica"/>
          <w:color w:val="000000"/>
          <w:sz w:val="20"/>
          <w:szCs w:val="20"/>
        </w:rPr>
      </w:pPr>
    </w:p>
    <w:p w14:paraId="08B92002" w14:textId="6A3D6EAB" w:rsidR="00140A36" w:rsidRPr="00D9453F" w:rsidRDefault="00D62406" w:rsidP="00443EAF">
      <w:pPr>
        <w:pStyle w:val="Subtitle"/>
        <w:rPr>
          <w:sz w:val="24"/>
          <w:u w:val="single"/>
        </w:rPr>
      </w:pPr>
      <w:r>
        <w:rPr>
          <w:noProof/>
          <w:sz w:val="24"/>
          <w:u w:val="single"/>
          <w:lang w:eastAsia="en-GB"/>
        </w:rPr>
        <mc:AlternateContent>
          <mc:Choice Requires="wps">
            <w:drawing>
              <wp:anchor distT="0" distB="0" distL="114300" distR="114300" simplePos="0" relativeHeight="251661312" behindDoc="0" locked="0" layoutInCell="1" allowOverlap="1" wp14:anchorId="51CB9799" wp14:editId="0C506447">
                <wp:simplePos x="0" y="0"/>
                <wp:positionH relativeFrom="column">
                  <wp:posOffset>2221833</wp:posOffset>
                </wp:positionH>
                <wp:positionV relativeFrom="paragraph">
                  <wp:posOffset>270576</wp:posOffset>
                </wp:positionV>
                <wp:extent cx="117642" cy="128337"/>
                <wp:effectExtent l="0" t="0" r="15875" b="24130"/>
                <wp:wrapNone/>
                <wp:docPr id="7" name="Rectangle 7"/>
                <wp:cNvGraphicFramePr/>
                <a:graphic xmlns:a="http://schemas.openxmlformats.org/drawingml/2006/main">
                  <a:graphicData uri="http://schemas.microsoft.com/office/word/2010/wordprocessingShape">
                    <wps:wsp>
                      <wps:cNvSpPr/>
                      <wps:spPr>
                        <a:xfrm>
                          <a:off x="0" y="0"/>
                          <a:ext cx="117642" cy="1283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62B9C" id="Rectangle 7" o:spid="_x0000_s1026" style="position:absolute;margin-left:174.95pt;margin-top:21.3pt;width:9.25pt;height:1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" fillcolor="white [3212]" strokecolor="white [3212]" strokeweight="1pt"/>
            </w:pict>
          </mc:Fallback>
        </mc:AlternateContent>
      </w:r>
      <w:r w:rsidR="006B119E">
        <w:rPr>
          <w:sz w:val="24"/>
          <w:u w:val="single"/>
        </w:rPr>
        <w:t>G</w:t>
      </w:r>
      <w:r w:rsidR="00140A36" w:rsidRPr="00D9453F">
        <w:rPr>
          <w:sz w:val="24"/>
          <w:u w:val="single"/>
        </w:rPr>
        <w:t>eneration Exceeded Capacity</w:t>
      </w:r>
    </w:p>
    <w:p w14:paraId="410DADFD" w14:textId="0B87FB11" w:rsidR="0068352E" w:rsidRPr="0069787F" w:rsidRDefault="00D62406" w:rsidP="00140A36">
      <w:pPr>
        <w:autoSpaceDE w:val="0"/>
        <w:autoSpaceDN w:val="0"/>
        <w:adjustRightInd w:val="0"/>
        <w:spacing w:after="0" w:line="240" w:lineRule="auto"/>
        <w:rPr>
          <w:rFonts w:cs="Helvetica-Bold"/>
          <w:b/>
          <w:bCs/>
          <w:color w:val="000000"/>
        </w:rPr>
      </w:pPr>
      <w:r>
        <w:rPr>
          <w:rFonts w:cs="Helvetica-Bold"/>
          <w:bCs/>
          <w:noProof/>
          <w:color w:val="000000"/>
          <w:lang w:eastAsia="en-GB"/>
        </w:rPr>
        <mc:AlternateContent>
          <mc:Choice Requires="wps">
            <w:drawing>
              <wp:anchor distT="0" distB="0" distL="114300" distR="114300" simplePos="0" relativeHeight="251662336" behindDoc="0" locked="0" layoutInCell="1" allowOverlap="1" wp14:anchorId="7AB78055" wp14:editId="5D27A332">
                <wp:simplePos x="0" y="0"/>
                <wp:positionH relativeFrom="column">
                  <wp:posOffset>2408989</wp:posOffset>
                </wp:positionH>
                <wp:positionV relativeFrom="paragraph">
                  <wp:posOffset>69917</wp:posOffset>
                </wp:positionV>
                <wp:extent cx="106513" cy="181342"/>
                <wp:effectExtent l="0" t="0" r="27305" b="28575"/>
                <wp:wrapNone/>
                <wp:docPr id="8" name="Rectangle 8"/>
                <wp:cNvGraphicFramePr/>
                <a:graphic xmlns:a="http://schemas.openxmlformats.org/drawingml/2006/main">
                  <a:graphicData uri="http://schemas.microsoft.com/office/word/2010/wordprocessingShape">
                    <wps:wsp>
                      <wps:cNvSpPr/>
                      <wps:spPr>
                        <a:xfrm>
                          <a:off x="0" y="0"/>
                          <a:ext cx="106513" cy="1813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010D5" id="Rectangle 8" o:spid="_x0000_s1026" style="position:absolute;margin-left:189.7pt;margin-top:5.5pt;width:8.4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" fillcolor="white [3212]" strokecolor="white [3212]" strokeweight="1pt"/>
            </w:pict>
          </mc:Fallback>
        </mc:AlternateContent>
      </w:r>
      <w:r w:rsidR="0068352E" w:rsidRPr="0069787F">
        <w:rPr>
          <w:rFonts w:cs="Helvetica-Bold"/>
          <w:bCs/>
          <w:color w:val="000000"/>
        </w:rPr>
        <w:t>Generation exceeded capacity =</w:t>
      </w:r>
      <w:r w:rsidR="0068352E" w:rsidRPr="0069787F">
        <w:rPr>
          <w:rFonts w:cs="Helvetica"/>
          <w:color w:val="000000"/>
        </w:rPr>
        <w:t xml:space="preserve"> max(2x</w:t>
      </w:r>
      <m:oMath>
        <m:rad>
          <m:radPr>
            <m:ctrlPr>
              <w:rPr>
                <w:rFonts w:ascii="Cambria Math" w:hAnsi="Cambria Math" w:cs="Helvetica"/>
                <w:i/>
                <w:color w:val="000000"/>
              </w:rPr>
            </m:ctrlPr>
          </m:radPr>
          <m:deg/>
          <m:e/>
        </m:rad>
      </m:oMath>
      <w:r w:rsidR="0068352E" w:rsidRPr="0069787F">
        <w:rPr>
          <w:rFonts w:eastAsiaTheme="minorEastAsia" w:cs="Helvetica"/>
          <w:color w:val="000000"/>
        </w:rPr>
        <w:t>AE²+max(RI,RE) ²-MEC,0)</w:t>
      </w:r>
    </w:p>
    <w:p w14:paraId="44D8A4C4" w14:textId="77777777"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Where:</w:t>
      </w:r>
    </w:p>
    <w:p w14:paraId="4635D595" w14:textId="77777777" w:rsidR="009D4058" w:rsidRPr="0069787F" w:rsidRDefault="009D4058" w:rsidP="00140A36">
      <w:pPr>
        <w:autoSpaceDE w:val="0"/>
        <w:autoSpaceDN w:val="0"/>
        <w:adjustRightInd w:val="0"/>
        <w:spacing w:after="0" w:line="240" w:lineRule="auto"/>
        <w:rPr>
          <w:rFonts w:cs="Helvetica"/>
          <w:color w:val="000000"/>
        </w:rPr>
      </w:pPr>
    </w:p>
    <w:p w14:paraId="1A4FA1ED" w14:textId="77777777"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AE = Active Export (kWh)</w:t>
      </w:r>
    </w:p>
    <w:p w14:paraId="7C03D10B" w14:textId="77777777" w:rsidR="009D4058" w:rsidRPr="0069787F" w:rsidRDefault="009D4058" w:rsidP="00140A36">
      <w:pPr>
        <w:autoSpaceDE w:val="0"/>
        <w:autoSpaceDN w:val="0"/>
        <w:adjustRightInd w:val="0"/>
        <w:spacing w:after="0" w:line="240" w:lineRule="auto"/>
        <w:rPr>
          <w:rFonts w:cs="Helvetica"/>
          <w:color w:val="000000"/>
        </w:rPr>
      </w:pPr>
    </w:p>
    <w:p w14:paraId="39778BEE" w14:textId="77777777"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RI = Reactive Import (kVArh)</w:t>
      </w:r>
    </w:p>
    <w:p w14:paraId="3A4009E5" w14:textId="77777777" w:rsidR="009D4058" w:rsidRPr="0069787F" w:rsidRDefault="009D4058" w:rsidP="00140A36">
      <w:pPr>
        <w:autoSpaceDE w:val="0"/>
        <w:autoSpaceDN w:val="0"/>
        <w:adjustRightInd w:val="0"/>
        <w:spacing w:after="0" w:line="240" w:lineRule="auto"/>
        <w:rPr>
          <w:rFonts w:cs="Helvetica"/>
          <w:color w:val="000000"/>
        </w:rPr>
      </w:pPr>
    </w:p>
    <w:p w14:paraId="45C86744" w14:textId="77777777"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RE = Reactive Export (kVArh)</w:t>
      </w:r>
    </w:p>
    <w:p w14:paraId="342E63B6" w14:textId="77777777" w:rsidR="009D4058" w:rsidRPr="0069787F" w:rsidRDefault="009D4058" w:rsidP="00140A36">
      <w:pPr>
        <w:autoSpaceDE w:val="0"/>
        <w:autoSpaceDN w:val="0"/>
        <w:adjustRightInd w:val="0"/>
        <w:spacing w:after="0" w:line="240" w:lineRule="auto"/>
        <w:rPr>
          <w:rFonts w:cs="Helvetica"/>
          <w:color w:val="000000"/>
        </w:rPr>
      </w:pPr>
    </w:p>
    <w:p w14:paraId="72B405F2" w14:textId="77777777" w:rsidR="00140A36" w:rsidRPr="0069787F" w:rsidRDefault="00140A36" w:rsidP="00140A36">
      <w:pPr>
        <w:autoSpaceDE w:val="0"/>
        <w:autoSpaceDN w:val="0"/>
        <w:adjustRightInd w:val="0"/>
        <w:spacing w:after="0" w:line="240" w:lineRule="auto"/>
        <w:rPr>
          <w:rFonts w:cs="Helvetica"/>
          <w:color w:val="000000"/>
        </w:rPr>
      </w:pPr>
      <w:r w:rsidRPr="0069787F">
        <w:rPr>
          <w:rFonts w:cs="Helvetica"/>
          <w:color w:val="000000"/>
        </w:rPr>
        <w:t>MEC = Maximum Export Capacity (kVA)</w:t>
      </w:r>
    </w:p>
    <w:p w14:paraId="7F550407" w14:textId="77777777" w:rsidR="009D4058" w:rsidRPr="0069787F" w:rsidRDefault="009D4058" w:rsidP="00140A36">
      <w:pPr>
        <w:autoSpaceDE w:val="0"/>
        <w:autoSpaceDN w:val="0"/>
        <w:adjustRightInd w:val="0"/>
        <w:spacing w:after="0" w:line="240" w:lineRule="auto"/>
        <w:rPr>
          <w:rFonts w:cs="Helvetica"/>
          <w:color w:val="000000"/>
        </w:rPr>
      </w:pPr>
    </w:p>
    <w:p w14:paraId="30268493" w14:textId="1AEE79DF" w:rsidR="00140A36" w:rsidRPr="0069787F" w:rsidRDefault="006B119E" w:rsidP="00140A36">
      <w:pPr>
        <w:autoSpaceDE w:val="0"/>
        <w:autoSpaceDN w:val="0"/>
        <w:adjustRightInd w:val="0"/>
        <w:spacing w:after="0" w:line="240" w:lineRule="auto"/>
        <w:rPr>
          <w:rFonts w:cs="Helvetica"/>
          <w:color w:val="000000"/>
        </w:rPr>
      </w:pPr>
      <w:r>
        <w:rPr>
          <w:rFonts w:cs="Helvetica"/>
          <w:color w:val="000000"/>
        </w:rPr>
        <w:t>2.</w:t>
      </w:r>
      <w:r w:rsidR="00632ACD">
        <w:rPr>
          <w:rFonts w:cs="Helvetica"/>
          <w:color w:val="000000"/>
        </w:rPr>
        <w:t>41</w:t>
      </w:r>
      <w:r>
        <w:rPr>
          <w:rFonts w:cs="Helvetica"/>
          <w:color w:val="000000"/>
        </w:rPr>
        <w:t xml:space="preserve">. </w:t>
      </w:r>
      <w:r w:rsidR="00140A36" w:rsidRPr="0069787F">
        <w:rPr>
          <w:rFonts w:cs="Helvetica"/>
          <w:color w:val="000000"/>
        </w:rPr>
        <w:t>Only reactive import and reactive export values occurring at times of active export are used</w:t>
      </w:r>
      <w:r w:rsidR="00E1246A" w:rsidRPr="0069787F">
        <w:rPr>
          <w:rFonts w:cs="Helvetica"/>
          <w:color w:val="000000"/>
        </w:rPr>
        <w:t xml:space="preserve"> </w:t>
      </w:r>
      <w:r w:rsidR="00140A36" w:rsidRPr="0069787F">
        <w:rPr>
          <w:rFonts w:cs="Helvetica"/>
          <w:color w:val="000000"/>
        </w:rPr>
        <w:t>in the calculation</w:t>
      </w:r>
      <w:r w:rsidR="00CB7DB4" w:rsidRPr="0069787F">
        <w:rPr>
          <w:rFonts w:cs="Helvetica"/>
          <w:color w:val="000000"/>
        </w:rPr>
        <w:t>. Where data for two or more MPAN’s is aggregated for billing purposes the HH consumption values occurring at times of KWh export are summated</w:t>
      </w:r>
      <w:r w:rsidR="00AF1642" w:rsidRPr="0069787F">
        <w:rPr>
          <w:rFonts w:cs="Helvetica"/>
          <w:color w:val="000000"/>
        </w:rPr>
        <w:t xml:space="preserve"> prior to the calculation above. For sites which are importing and exporting in the same HH, i.e. where the active import is not equal to zero and active export is not equal to zero, use zero for reactive import and reactive export when calculating capacity taken. </w:t>
      </w:r>
    </w:p>
    <w:p w14:paraId="50B8BF70" w14:textId="77777777" w:rsidR="0068352E" w:rsidRPr="0069787F" w:rsidRDefault="0068352E" w:rsidP="00140A36">
      <w:pPr>
        <w:autoSpaceDE w:val="0"/>
        <w:autoSpaceDN w:val="0"/>
        <w:adjustRightInd w:val="0"/>
        <w:spacing w:after="0" w:line="240" w:lineRule="auto"/>
        <w:rPr>
          <w:rFonts w:cs="Helvetica"/>
          <w:color w:val="000000"/>
        </w:rPr>
      </w:pPr>
    </w:p>
    <w:p w14:paraId="5A9502D4" w14:textId="14F5208D" w:rsidR="00140A36" w:rsidRDefault="00632ACD" w:rsidP="00140A36">
      <w:pPr>
        <w:autoSpaceDE w:val="0"/>
        <w:autoSpaceDN w:val="0"/>
        <w:adjustRightInd w:val="0"/>
        <w:spacing w:after="0" w:line="240" w:lineRule="auto"/>
        <w:rPr>
          <w:rFonts w:cs="Helvetica"/>
          <w:color w:val="000000"/>
        </w:rPr>
      </w:pPr>
      <w:r>
        <w:rPr>
          <w:rFonts w:cs="Helvetica"/>
          <w:color w:val="000000"/>
        </w:rPr>
        <w:t>2.42</w:t>
      </w:r>
      <w:r w:rsidR="006B119E">
        <w:rPr>
          <w:rFonts w:cs="Helvetica"/>
          <w:color w:val="000000"/>
        </w:rPr>
        <w:t xml:space="preserve">. </w:t>
      </w:r>
      <w:r w:rsidR="00140A36" w:rsidRPr="0069787F">
        <w:rPr>
          <w:rFonts w:cs="Helvetica"/>
          <w:color w:val="000000"/>
        </w:rPr>
        <w:t>This calculation is completed for every half hour and maximum value from the billing period</w:t>
      </w:r>
      <w:r w:rsidR="00E1246A" w:rsidRPr="0069787F">
        <w:rPr>
          <w:rFonts w:cs="Helvetica"/>
          <w:color w:val="000000"/>
        </w:rPr>
        <w:t xml:space="preserve"> </w:t>
      </w:r>
      <w:r w:rsidR="00140A36" w:rsidRPr="0069787F">
        <w:rPr>
          <w:rFonts w:cs="Helvetica"/>
          <w:color w:val="000000"/>
        </w:rPr>
        <w:t>is applied.</w:t>
      </w:r>
    </w:p>
    <w:p w14:paraId="219A625F" w14:textId="77777777" w:rsidR="00EA2CED" w:rsidRDefault="00EA2CED" w:rsidP="00140A36">
      <w:pPr>
        <w:autoSpaceDE w:val="0"/>
        <w:autoSpaceDN w:val="0"/>
        <w:adjustRightInd w:val="0"/>
        <w:spacing w:after="0" w:line="240" w:lineRule="auto"/>
        <w:rPr>
          <w:rFonts w:cs="Helvetica"/>
          <w:color w:val="000000"/>
        </w:rPr>
      </w:pPr>
    </w:p>
    <w:p w14:paraId="3ABCAACF" w14:textId="77777777" w:rsidR="00140A36" w:rsidRPr="00443EAF" w:rsidRDefault="00140A36" w:rsidP="00443EAF">
      <w:pPr>
        <w:pStyle w:val="Subtitle"/>
        <w:rPr>
          <w:sz w:val="24"/>
          <w:u w:val="single"/>
        </w:rPr>
      </w:pPr>
      <w:r w:rsidRPr="00443EAF">
        <w:rPr>
          <w:sz w:val="24"/>
          <w:u w:val="single"/>
        </w:rPr>
        <w:t>Standby Capacity for Additional Security on Site</w:t>
      </w:r>
    </w:p>
    <w:p w14:paraId="72F187EF" w14:textId="77777777"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14:paraId="36F8D9A1" w14:textId="0B988AC3"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43</w:t>
      </w:r>
      <w:r>
        <w:rPr>
          <w:rFonts w:cs="Helvetica"/>
          <w:color w:val="000000"/>
          <w:szCs w:val="20"/>
        </w:rPr>
        <w:t xml:space="preserve">. </w:t>
      </w:r>
      <w:r w:rsidR="00140A36" w:rsidRPr="0069787F">
        <w:rPr>
          <w:rFonts w:cs="Helvetica"/>
          <w:color w:val="000000"/>
          <w:szCs w:val="20"/>
        </w:rPr>
        <w:t>Where standby capacity charges are applied, the charge will be set at the same rate as that</w:t>
      </w:r>
      <w:r w:rsidR="00E1246A" w:rsidRPr="0069787F">
        <w:rPr>
          <w:rFonts w:cs="Helvetica"/>
          <w:color w:val="000000"/>
          <w:szCs w:val="20"/>
        </w:rPr>
        <w:t xml:space="preserve"> </w:t>
      </w:r>
      <w:r w:rsidR="00140A36" w:rsidRPr="0069787F">
        <w:rPr>
          <w:rFonts w:cs="Helvetica"/>
          <w:color w:val="000000"/>
          <w:szCs w:val="20"/>
        </w:rPr>
        <w:t>applied to normal MIC.</w:t>
      </w:r>
      <w:r w:rsidR="00AF1642" w:rsidRPr="0069787F">
        <w:rPr>
          <w:rFonts w:cs="Helvetica"/>
          <w:color w:val="000000"/>
          <w:szCs w:val="20"/>
        </w:rPr>
        <w:t xml:space="preserve"> Where, at a customer’s request, for additional security of supplies requiring sterilisation of capacity at two different sources of supply, we reserve the right to charge for the capacity held at each source. </w:t>
      </w:r>
    </w:p>
    <w:p w14:paraId="03C1CE6F" w14:textId="77777777" w:rsidR="0068352E" w:rsidRPr="00CD4EDF" w:rsidRDefault="0068352E" w:rsidP="00140A36">
      <w:pPr>
        <w:autoSpaceDE w:val="0"/>
        <w:autoSpaceDN w:val="0"/>
        <w:adjustRightInd w:val="0"/>
        <w:spacing w:after="0" w:line="240" w:lineRule="auto"/>
        <w:rPr>
          <w:rFonts w:ascii="Book Antiqua" w:hAnsi="Book Antiqua" w:cs="Helvetica-Bold"/>
          <w:b/>
          <w:bCs/>
          <w:color w:val="000000"/>
        </w:rPr>
      </w:pPr>
    </w:p>
    <w:p w14:paraId="3D191CBD" w14:textId="77777777" w:rsidR="00140A36" w:rsidRPr="00443EAF" w:rsidRDefault="00140A36" w:rsidP="00443EAF">
      <w:pPr>
        <w:pStyle w:val="Subtitle"/>
        <w:rPr>
          <w:sz w:val="24"/>
          <w:u w:val="single"/>
        </w:rPr>
      </w:pPr>
      <w:r w:rsidRPr="00443EAF">
        <w:rPr>
          <w:sz w:val="24"/>
          <w:u w:val="single"/>
        </w:rPr>
        <w:t>Minimum Capacity Levels</w:t>
      </w:r>
    </w:p>
    <w:p w14:paraId="07706325" w14:textId="77777777" w:rsidR="0068352E" w:rsidRPr="0069787F" w:rsidRDefault="0068352E" w:rsidP="00140A36">
      <w:pPr>
        <w:autoSpaceDE w:val="0"/>
        <w:autoSpaceDN w:val="0"/>
        <w:adjustRightInd w:val="0"/>
        <w:spacing w:after="0" w:line="240" w:lineRule="auto"/>
        <w:rPr>
          <w:rFonts w:cs="Helvetica"/>
          <w:color w:val="000000"/>
          <w:sz w:val="20"/>
          <w:szCs w:val="20"/>
        </w:rPr>
      </w:pPr>
    </w:p>
    <w:p w14:paraId="7D9825CE" w14:textId="621335CE"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44</w:t>
      </w:r>
      <w:r>
        <w:rPr>
          <w:rFonts w:cs="Helvetica"/>
          <w:color w:val="000000"/>
          <w:szCs w:val="20"/>
        </w:rPr>
        <w:t xml:space="preserve">. </w:t>
      </w:r>
      <w:r w:rsidR="00140A36" w:rsidRPr="0069787F">
        <w:rPr>
          <w:rFonts w:cs="Helvetica"/>
          <w:color w:val="000000"/>
          <w:szCs w:val="20"/>
        </w:rPr>
        <w:t>There is no minimum capacity threshold.</w:t>
      </w:r>
    </w:p>
    <w:p w14:paraId="50EF45D9" w14:textId="77777777" w:rsidR="00443EAF" w:rsidRDefault="00443EAF" w:rsidP="00443EAF">
      <w:pPr>
        <w:pStyle w:val="Subtitle"/>
        <w:rPr>
          <w:sz w:val="24"/>
          <w:u w:val="single"/>
        </w:rPr>
      </w:pPr>
    </w:p>
    <w:p w14:paraId="065772F9" w14:textId="77777777" w:rsidR="00140A36" w:rsidRPr="00443EAF" w:rsidRDefault="00140A36" w:rsidP="00443EAF">
      <w:pPr>
        <w:pStyle w:val="Subtitle"/>
        <w:rPr>
          <w:sz w:val="24"/>
          <w:u w:val="single"/>
        </w:rPr>
      </w:pPr>
      <w:r w:rsidRPr="00443EAF">
        <w:rPr>
          <w:sz w:val="24"/>
          <w:u w:val="single"/>
        </w:rPr>
        <w:t>Application of Charges for Excess Reactive Power</w:t>
      </w:r>
    </w:p>
    <w:p w14:paraId="63E26577" w14:textId="77777777" w:rsidR="00E1246A" w:rsidRDefault="00E1246A" w:rsidP="00140A36">
      <w:pPr>
        <w:autoSpaceDE w:val="0"/>
        <w:autoSpaceDN w:val="0"/>
        <w:adjustRightInd w:val="0"/>
        <w:spacing w:after="0" w:line="240" w:lineRule="auto"/>
        <w:rPr>
          <w:rFonts w:ascii="Book Antiqua" w:hAnsi="Book Antiqua" w:cs="Helvetica"/>
          <w:color w:val="000000"/>
          <w:sz w:val="20"/>
          <w:szCs w:val="20"/>
        </w:rPr>
      </w:pPr>
    </w:p>
    <w:p w14:paraId="7F5B6A1B" w14:textId="326E696F" w:rsidR="00140A36" w:rsidRPr="0069787F" w:rsidRDefault="00377F62"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45</w:t>
      </w:r>
      <w:r w:rsidR="006B119E">
        <w:rPr>
          <w:rFonts w:cs="Helvetica"/>
          <w:color w:val="000000"/>
          <w:szCs w:val="20"/>
        </w:rPr>
        <w:t xml:space="preserve">. </w:t>
      </w:r>
      <w:r w:rsidR="00140A36" w:rsidRPr="0069787F">
        <w:rPr>
          <w:rFonts w:cs="Helvetica"/>
          <w:color w:val="000000"/>
          <w:szCs w:val="20"/>
        </w:rPr>
        <w:t>Where an individual HH metered MPAN’s reactive power (measured in kVArh) at LV and</w:t>
      </w:r>
      <w:r w:rsidR="00E1246A" w:rsidRPr="0069787F">
        <w:rPr>
          <w:rFonts w:cs="Helvetica"/>
          <w:color w:val="000000"/>
          <w:szCs w:val="20"/>
        </w:rPr>
        <w:t xml:space="preserve"> </w:t>
      </w:r>
      <w:r w:rsidR="00140A36" w:rsidRPr="0069787F">
        <w:rPr>
          <w:rFonts w:cs="Helvetica"/>
          <w:color w:val="000000"/>
          <w:szCs w:val="20"/>
        </w:rPr>
        <w:t>HV Designated Properties exceeds 33% of total active power (measured in kWh), excess</w:t>
      </w:r>
      <w:r w:rsidR="00E1246A" w:rsidRPr="0069787F">
        <w:rPr>
          <w:rFonts w:cs="Helvetica"/>
          <w:color w:val="000000"/>
          <w:szCs w:val="20"/>
        </w:rPr>
        <w:t xml:space="preserve"> </w:t>
      </w:r>
      <w:r w:rsidR="00140A36" w:rsidRPr="0069787F">
        <w:rPr>
          <w:rFonts w:cs="Helvetica"/>
          <w:color w:val="000000"/>
          <w:szCs w:val="20"/>
        </w:rPr>
        <w:t>reactive power charges will apply. This threshold is equivalent to an average power factor</w:t>
      </w:r>
      <w:r w:rsidR="00E1246A" w:rsidRPr="0069787F">
        <w:rPr>
          <w:rFonts w:cs="Helvetica"/>
          <w:color w:val="000000"/>
          <w:szCs w:val="20"/>
        </w:rPr>
        <w:t xml:space="preserve"> </w:t>
      </w:r>
      <w:r w:rsidR="00140A36" w:rsidRPr="0069787F">
        <w:rPr>
          <w:rFonts w:cs="Helvetica"/>
          <w:color w:val="000000"/>
          <w:szCs w:val="20"/>
        </w:rPr>
        <w:t>of 0.95 during the period. Any reactive units in excess of the 33% threshold are charged at</w:t>
      </w:r>
      <w:r w:rsidR="00E1246A" w:rsidRPr="0069787F">
        <w:rPr>
          <w:rFonts w:cs="Helvetica"/>
          <w:color w:val="000000"/>
          <w:szCs w:val="20"/>
        </w:rPr>
        <w:t xml:space="preserve"> </w:t>
      </w:r>
      <w:r w:rsidR="00140A36" w:rsidRPr="0069787F">
        <w:rPr>
          <w:rFonts w:cs="Helvetica"/>
          <w:color w:val="000000"/>
          <w:szCs w:val="20"/>
        </w:rPr>
        <w:t>the rate appropriate to the particular charge.</w:t>
      </w:r>
    </w:p>
    <w:p w14:paraId="710292E1" w14:textId="77777777" w:rsidR="0068352E" w:rsidRPr="0069787F" w:rsidRDefault="0068352E" w:rsidP="00140A36">
      <w:pPr>
        <w:autoSpaceDE w:val="0"/>
        <w:autoSpaceDN w:val="0"/>
        <w:adjustRightInd w:val="0"/>
        <w:spacing w:after="0" w:line="240" w:lineRule="auto"/>
        <w:rPr>
          <w:rFonts w:cs="Helvetica"/>
          <w:color w:val="000000"/>
          <w:sz w:val="20"/>
          <w:szCs w:val="20"/>
        </w:rPr>
      </w:pPr>
    </w:p>
    <w:p w14:paraId="0AC9B25C" w14:textId="4627B3CB" w:rsidR="00140A36" w:rsidRPr="0069787F" w:rsidRDefault="00377F62"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46</w:t>
      </w:r>
      <w:r w:rsidR="006B119E">
        <w:rPr>
          <w:rFonts w:cs="Helvetica"/>
          <w:color w:val="000000"/>
          <w:szCs w:val="20"/>
        </w:rPr>
        <w:t xml:space="preserve">. </w:t>
      </w:r>
      <w:r w:rsidR="00140A36" w:rsidRPr="0069787F">
        <w:rPr>
          <w:rFonts w:cs="Helvetica"/>
          <w:color w:val="000000"/>
          <w:szCs w:val="20"/>
        </w:rPr>
        <w:t>Power Factor is calculated as follows:</w:t>
      </w:r>
    </w:p>
    <w:p w14:paraId="76CC2732" w14:textId="77777777" w:rsidR="0068352E" w:rsidRPr="00CD4EDF" w:rsidRDefault="0068352E" w:rsidP="00140A36">
      <w:pPr>
        <w:autoSpaceDE w:val="0"/>
        <w:autoSpaceDN w:val="0"/>
        <w:adjustRightInd w:val="0"/>
        <w:spacing w:after="0" w:line="240" w:lineRule="auto"/>
        <w:rPr>
          <w:rFonts w:ascii="Book Antiqua" w:hAnsi="Book Antiqua" w:cs="Helvetica"/>
          <w:color w:val="000000"/>
          <w:sz w:val="20"/>
          <w:szCs w:val="20"/>
        </w:rPr>
      </w:pPr>
    </w:p>
    <w:p w14:paraId="110896B6" w14:textId="77777777" w:rsidR="009F677B" w:rsidRPr="00CD4EDF" w:rsidRDefault="009071E4" w:rsidP="00E1246A">
      <w:pPr>
        <w:autoSpaceDE w:val="0"/>
        <w:autoSpaceDN w:val="0"/>
        <w:adjustRightInd w:val="0"/>
        <w:spacing w:after="0" w:line="240" w:lineRule="auto"/>
        <w:rPr>
          <w:rFonts w:ascii="Book Antiqua" w:hAnsi="Book Antiqua" w:cs="Helvetica"/>
          <w:color w:val="000000"/>
          <w:sz w:val="20"/>
          <w:szCs w:val="20"/>
        </w:rPr>
      </w:pPr>
      <w:r>
        <w:rPr>
          <w:rFonts w:ascii="Book Antiqua" w:hAnsi="Book Antiqua" w:cs="Helvetica"/>
          <w:noProof/>
          <w:color w:val="000000"/>
          <w:sz w:val="20"/>
          <w:szCs w:val="20"/>
          <w:lang w:eastAsia="en-GB"/>
        </w:rPr>
        <w:drawing>
          <wp:inline distT="0" distB="0" distL="0" distR="0" wp14:anchorId="4B71FFEE" wp14:editId="6F742041">
            <wp:extent cx="3007302" cy="14382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3742" cy="1446138"/>
                    </a:xfrm>
                    <a:prstGeom prst="rect">
                      <a:avLst/>
                    </a:prstGeom>
                    <a:noFill/>
                    <a:ln>
                      <a:noFill/>
                    </a:ln>
                  </pic:spPr>
                </pic:pic>
              </a:graphicData>
            </a:graphic>
          </wp:inline>
        </w:drawing>
      </w:r>
      <w:r w:rsidR="00E1246A" w:rsidRPr="00CD4EDF">
        <w:rPr>
          <w:rFonts w:ascii="Book Antiqua" w:hAnsi="Book Antiqua" w:cs="Helvetica"/>
          <w:color w:val="000000"/>
          <w:sz w:val="20"/>
          <w:szCs w:val="20"/>
        </w:rPr>
        <w:t xml:space="preserve"> </w:t>
      </w:r>
    </w:p>
    <w:p w14:paraId="118A8D2D" w14:textId="77777777"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r w:rsidRPr="00CD4EDF">
        <w:rPr>
          <w:rFonts w:ascii="Book Antiqua" w:hAnsi="Book Antiqua" w:cs="Helvetica"/>
          <w:color w:val="000000"/>
          <w:sz w:val="20"/>
          <w:szCs w:val="20"/>
        </w:rPr>
        <w:tab/>
      </w:r>
      <w:r w:rsidRPr="00CD4EDF">
        <w:rPr>
          <w:rFonts w:ascii="Book Antiqua" w:hAnsi="Book Antiqua" w:cs="Helvetica"/>
          <w:color w:val="000000"/>
          <w:sz w:val="20"/>
          <w:szCs w:val="20"/>
        </w:rPr>
        <w:tab/>
      </w:r>
      <w:r w:rsidRPr="00CD4EDF">
        <w:rPr>
          <w:rFonts w:ascii="Book Antiqua" w:hAnsi="Book Antiqua" w:cs="Helvetica"/>
          <w:color w:val="000000"/>
          <w:sz w:val="20"/>
          <w:szCs w:val="20"/>
        </w:rPr>
        <w:tab/>
      </w:r>
    </w:p>
    <w:p w14:paraId="0B56AEA6" w14:textId="77777777"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p>
    <w:p w14:paraId="1776CBBB" w14:textId="77777777" w:rsidR="009F677B" w:rsidRPr="00CD4EDF" w:rsidRDefault="009F677B" w:rsidP="00140A36">
      <w:pPr>
        <w:autoSpaceDE w:val="0"/>
        <w:autoSpaceDN w:val="0"/>
        <w:adjustRightInd w:val="0"/>
        <w:spacing w:after="0" w:line="240" w:lineRule="auto"/>
        <w:rPr>
          <w:rFonts w:ascii="Book Antiqua" w:hAnsi="Book Antiqua" w:cs="Helvetica"/>
          <w:color w:val="000000"/>
          <w:sz w:val="20"/>
          <w:szCs w:val="20"/>
        </w:rPr>
      </w:pPr>
    </w:p>
    <w:p w14:paraId="43728BF7" w14:textId="77777777" w:rsidR="00703854" w:rsidRDefault="00703854" w:rsidP="00140A36">
      <w:pPr>
        <w:autoSpaceDE w:val="0"/>
        <w:autoSpaceDN w:val="0"/>
        <w:adjustRightInd w:val="0"/>
        <w:spacing w:after="0" w:line="240" w:lineRule="auto"/>
        <w:rPr>
          <w:rFonts w:cs="Helvetica"/>
          <w:color w:val="000000"/>
          <w:szCs w:val="20"/>
        </w:rPr>
      </w:pPr>
    </w:p>
    <w:p w14:paraId="1C706411"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The chargeable Reactive Power is calculated as follows:</w:t>
      </w:r>
    </w:p>
    <w:p w14:paraId="1EBB91C8" w14:textId="77777777" w:rsidR="0068352E" w:rsidRDefault="0068352E" w:rsidP="00140A36">
      <w:pPr>
        <w:autoSpaceDE w:val="0"/>
        <w:autoSpaceDN w:val="0"/>
        <w:adjustRightInd w:val="0"/>
        <w:spacing w:after="0" w:line="240" w:lineRule="auto"/>
        <w:rPr>
          <w:rFonts w:ascii="Book Antiqua" w:hAnsi="Book Antiqua" w:cs="Helvetica"/>
          <w:color w:val="000000"/>
          <w:szCs w:val="20"/>
        </w:rPr>
      </w:pPr>
    </w:p>
    <w:p w14:paraId="1CD46293" w14:textId="77777777" w:rsidR="008308F2" w:rsidRPr="00E1246A" w:rsidRDefault="008308F2" w:rsidP="00140A36">
      <w:pPr>
        <w:autoSpaceDE w:val="0"/>
        <w:autoSpaceDN w:val="0"/>
        <w:adjustRightInd w:val="0"/>
        <w:spacing w:after="0" w:line="240" w:lineRule="auto"/>
        <w:rPr>
          <w:rFonts w:ascii="Book Antiqua" w:hAnsi="Book Antiqua" w:cs="Helvetica"/>
          <w:color w:val="000000"/>
          <w:szCs w:val="20"/>
        </w:rPr>
      </w:pPr>
    </w:p>
    <w:p w14:paraId="1AD66EBB" w14:textId="77777777" w:rsidR="00140A36" w:rsidRPr="00116613" w:rsidRDefault="00140A36" w:rsidP="00443EAF">
      <w:pPr>
        <w:pStyle w:val="Subtitle"/>
        <w:rPr>
          <w:sz w:val="24"/>
          <w:u w:val="single"/>
        </w:rPr>
      </w:pPr>
      <w:r w:rsidRPr="00116613">
        <w:rPr>
          <w:sz w:val="24"/>
          <w:u w:val="single"/>
        </w:rPr>
        <w:t>Demand Chargeable Reactive Power</w:t>
      </w:r>
    </w:p>
    <w:p w14:paraId="2F62C0CB" w14:textId="77777777" w:rsidR="00AC3DF7" w:rsidRDefault="00AC3DF7" w:rsidP="00AC3DF7">
      <w:pPr>
        <w:autoSpaceDE w:val="0"/>
        <w:autoSpaceDN w:val="0"/>
        <w:adjustRightInd w:val="0"/>
        <w:spacing w:after="0" w:line="240" w:lineRule="auto"/>
        <w:jc w:val="center"/>
        <w:rPr>
          <w:rFonts w:ascii="Book Antiqua" w:hAnsi="Book Antiqua" w:cs="Helvetica-Bold"/>
          <w:bCs/>
          <w:color w:val="000000"/>
        </w:rPr>
      </w:pPr>
      <w:r>
        <w:rPr>
          <w:rFonts w:ascii="Book Antiqua" w:hAnsi="Book Antiqua" w:cs="Helvetica-Bold"/>
          <w:bCs/>
          <w:noProof/>
          <w:color w:val="000000"/>
          <w:lang w:eastAsia="en-GB"/>
        </w:rPr>
        <w:drawing>
          <wp:inline distT="0" distB="0" distL="0" distR="0" wp14:anchorId="550652CD" wp14:editId="6EA35F9B">
            <wp:extent cx="4943475" cy="666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3475" cy="666750"/>
                    </a:xfrm>
                    <a:prstGeom prst="rect">
                      <a:avLst/>
                    </a:prstGeom>
                    <a:noFill/>
                    <a:ln>
                      <a:noFill/>
                    </a:ln>
                  </pic:spPr>
                </pic:pic>
              </a:graphicData>
            </a:graphic>
          </wp:inline>
        </w:drawing>
      </w:r>
      <w:r w:rsidR="00E1246A" w:rsidRPr="00CD4EDF">
        <w:rPr>
          <w:rFonts w:ascii="Book Antiqua" w:hAnsi="Book Antiqua" w:cs="Helvetica-Bold"/>
          <w:bCs/>
          <w:noProof/>
          <w:color w:val="000000"/>
          <w:lang w:eastAsia="en-GB"/>
        </w:rPr>
        <mc:AlternateContent>
          <mc:Choice Requires="wps">
            <w:drawing>
              <wp:anchor distT="0" distB="0" distL="114300" distR="114300" simplePos="0" relativeHeight="251658240" behindDoc="0" locked="0" layoutInCell="1" allowOverlap="1" wp14:anchorId="0C97B50C" wp14:editId="33094B07">
                <wp:simplePos x="0" y="0"/>
                <wp:positionH relativeFrom="column">
                  <wp:posOffset>4076700</wp:posOffset>
                </wp:positionH>
                <wp:positionV relativeFrom="paragraph">
                  <wp:posOffset>135890</wp:posOffset>
                </wp:positionV>
                <wp:extent cx="285750" cy="0"/>
                <wp:effectExtent l="0" t="0" r="19050" b="19050"/>
                <wp:wrapNone/>
                <wp:docPr id="194" name="Straight Connector 194"/>
                <wp:cNvGraphicFramePr/>
                <a:graphic xmlns:a="http://schemas.openxmlformats.org/drawingml/2006/main">
                  <a:graphicData uri="http://schemas.microsoft.com/office/word/2010/wordprocessingShape">
                    <wps:wsp>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43BFC8" id="Straight Connector 19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10.7pt" to="34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" strokecolor="black [3213]" strokeweight=".5pt">
                <v:stroke joinstyle="miter"/>
              </v:line>
            </w:pict>
          </mc:Fallback>
        </mc:AlternateContent>
      </w:r>
    </w:p>
    <w:p w14:paraId="7A8B02CF" w14:textId="77777777" w:rsidR="00AC3DF7" w:rsidRDefault="00AC3DF7" w:rsidP="00140A36">
      <w:pPr>
        <w:autoSpaceDE w:val="0"/>
        <w:autoSpaceDN w:val="0"/>
        <w:adjustRightInd w:val="0"/>
        <w:spacing w:after="0" w:line="240" w:lineRule="auto"/>
        <w:rPr>
          <w:rFonts w:ascii="Book Antiqua" w:hAnsi="Book Antiqua" w:cs="Helvetica-Bold"/>
          <w:bCs/>
          <w:color w:val="000000"/>
        </w:rPr>
      </w:pPr>
    </w:p>
    <w:p w14:paraId="41F7C1F3"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Where:</w:t>
      </w:r>
    </w:p>
    <w:p w14:paraId="58D85FC4" w14:textId="77777777" w:rsidR="00945936" w:rsidRPr="0069787F" w:rsidRDefault="00945936" w:rsidP="00140A36">
      <w:pPr>
        <w:autoSpaceDE w:val="0"/>
        <w:autoSpaceDN w:val="0"/>
        <w:adjustRightInd w:val="0"/>
        <w:spacing w:after="0" w:line="240" w:lineRule="auto"/>
        <w:rPr>
          <w:rFonts w:cs="Helvetica"/>
          <w:color w:val="000000"/>
          <w:szCs w:val="20"/>
        </w:rPr>
      </w:pPr>
    </w:p>
    <w:p w14:paraId="7FDECFE5"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AI = Active Import (kWh)</w:t>
      </w:r>
      <w:r w:rsidR="00945936" w:rsidRPr="0069787F">
        <w:rPr>
          <w:rFonts w:cs="Helvetica"/>
          <w:color w:val="000000"/>
          <w:szCs w:val="20"/>
        </w:rPr>
        <w:t xml:space="preserve">   </w:t>
      </w:r>
    </w:p>
    <w:p w14:paraId="21DA8166" w14:textId="77777777" w:rsidR="00945936" w:rsidRPr="0069787F" w:rsidRDefault="00945936" w:rsidP="00140A36">
      <w:pPr>
        <w:autoSpaceDE w:val="0"/>
        <w:autoSpaceDN w:val="0"/>
        <w:adjustRightInd w:val="0"/>
        <w:spacing w:after="0" w:line="240" w:lineRule="auto"/>
        <w:rPr>
          <w:rFonts w:cs="Helvetica"/>
          <w:color w:val="000000"/>
          <w:szCs w:val="20"/>
        </w:rPr>
      </w:pPr>
    </w:p>
    <w:p w14:paraId="56A2ED9C"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RI = Reactive Import (kVArh)</w:t>
      </w:r>
    </w:p>
    <w:p w14:paraId="4382656B" w14:textId="77777777" w:rsidR="00945936" w:rsidRPr="0069787F" w:rsidRDefault="00945936" w:rsidP="00140A36">
      <w:pPr>
        <w:autoSpaceDE w:val="0"/>
        <w:autoSpaceDN w:val="0"/>
        <w:adjustRightInd w:val="0"/>
        <w:spacing w:after="0" w:line="240" w:lineRule="auto"/>
        <w:rPr>
          <w:rFonts w:cs="Helvetica"/>
          <w:color w:val="000000"/>
          <w:szCs w:val="20"/>
        </w:rPr>
      </w:pPr>
    </w:p>
    <w:p w14:paraId="7C799B59"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RE = Reactive Export (kVArh)</w:t>
      </w:r>
    </w:p>
    <w:p w14:paraId="6049B199" w14:textId="77777777" w:rsidR="00945936" w:rsidRPr="0069787F" w:rsidRDefault="00945936" w:rsidP="00140A36">
      <w:pPr>
        <w:autoSpaceDE w:val="0"/>
        <w:autoSpaceDN w:val="0"/>
        <w:adjustRightInd w:val="0"/>
        <w:spacing w:after="0" w:line="240" w:lineRule="auto"/>
        <w:rPr>
          <w:rFonts w:cs="Helvetica"/>
          <w:color w:val="000000"/>
          <w:szCs w:val="20"/>
        </w:rPr>
      </w:pPr>
    </w:p>
    <w:p w14:paraId="062F15A0" w14:textId="5A2388DE" w:rsidR="00AF1642" w:rsidRPr="0069787F" w:rsidRDefault="006B119E" w:rsidP="00AF1642">
      <w:pPr>
        <w:autoSpaceDE w:val="0"/>
        <w:autoSpaceDN w:val="0"/>
        <w:adjustRightInd w:val="0"/>
        <w:spacing w:after="0" w:line="240" w:lineRule="auto"/>
        <w:rPr>
          <w:rFonts w:cs="Helvetica"/>
          <w:color w:val="000000"/>
        </w:rPr>
      </w:pPr>
      <w:r>
        <w:rPr>
          <w:rFonts w:cs="Helvetica"/>
          <w:color w:val="000000"/>
          <w:szCs w:val="20"/>
        </w:rPr>
        <w:t>2.</w:t>
      </w:r>
      <w:r w:rsidR="00632ACD">
        <w:rPr>
          <w:rFonts w:cs="Helvetica"/>
          <w:color w:val="000000"/>
          <w:szCs w:val="20"/>
        </w:rPr>
        <w:t>47</w:t>
      </w:r>
      <w:r>
        <w:rPr>
          <w:rFonts w:cs="Helvetica"/>
          <w:color w:val="000000"/>
          <w:szCs w:val="20"/>
        </w:rPr>
        <w:t xml:space="preserve">. </w:t>
      </w:r>
      <w:r w:rsidR="00140A36" w:rsidRPr="0069787F">
        <w:rPr>
          <w:rFonts w:cs="Helvetica"/>
          <w:color w:val="000000"/>
          <w:szCs w:val="20"/>
        </w:rPr>
        <w:t>Only reactive import and reactive export values occurring at times of active import are used</w:t>
      </w:r>
      <w:r w:rsidR="00E1246A" w:rsidRPr="0069787F">
        <w:rPr>
          <w:rFonts w:cs="Helvetica"/>
          <w:color w:val="000000"/>
          <w:szCs w:val="20"/>
        </w:rPr>
        <w:t xml:space="preserve"> </w:t>
      </w:r>
      <w:r w:rsidR="00140A36" w:rsidRPr="0069787F">
        <w:rPr>
          <w:rFonts w:cs="Helvetica"/>
          <w:color w:val="000000"/>
          <w:szCs w:val="20"/>
        </w:rPr>
        <w:t>in the calculation.</w:t>
      </w:r>
      <w:r w:rsidR="00AF1642" w:rsidRPr="0069787F">
        <w:rPr>
          <w:rFonts w:cs="Helvetica"/>
          <w:color w:val="000000"/>
          <w:szCs w:val="20"/>
        </w:rPr>
        <w:t xml:space="preserve"> </w:t>
      </w:r>
      <w:r w:rsidR="00617254" w:rsidRPr="0069787F">
        <w:rPr>
          <w:rFonts w:cs="Helvetica"/>
          <w:color w:val="000000"/>
          <w:szCs w:val="20"/>
        </w:rPr>
        <w:t xml:space="preserve">Where data for two or more MPANs is aggregated for billing purposes the HH consumption values are summated prior to the calculation above. For sites which are importing and exporting in the same HH i.e. where active import is not equal to zero and active export is not equal to zero, no calculation for the HH is made and the result for that HH would be zero. </w:t>
      </w:r>
    </w:p>
    <w:p w14:paraId="575D42D6" w14:textId="77777777" w:rsidR="00945936" w:rsidRPr="0069787F" w:rsidRDefault="00945936" w:rsidP="00140A36">
      <w:pPr>
        <w:autoSpaceDE w:val="0"/>
        <w:autoSpaceDN w:val="0"/>
        <w:adjustRightInd w:val="0"/>
        <w:spacing w:after="0" w:line="240" w:lineRule="auto"/>
        <w:rPr>
          <w:rFonts w:cs="Helvetica"/>
          <w:color w:val="000000"/>
          <w:szCs w:val="20"/>
        </w:rPr>
      </w:pPr>
    </w:p>
    <w:p w14:paraId="2FD9EFEC" w14:textId="4C96BB99"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48</w:t>
      </w:r>
      <w:r>
        <w:rPr>
          <w:rFonts w:cs="Helvetica"/>
          <w:color w:val="000000"/>
          <w:szCs w:val="20"/>
        </w:rPr>
        <w:t xml:space="preserve">. </w:t>
      </w:r>
      <w:r w:rsidR="00140A36" w:rsidRPr="0069787F">
        <w:rPr>
          <w:rFonts w:cs="Helvetica"/>
          <w:color w:val="000000"/>
          <w:szCs w:val="20"/>
        </w:rPr>
        <w:t>The square root calculation will be to two decimal places.</w:t>
      </w:r>
    </w:p>
    <w:p w14:paraId="56D604F4" w14:textId="77777777" w:rsidR="006B119E" w:rsidRDefault="006B119E" w:rsidP="00140A36">
      <w:pPr>
        <w:autoSpaceDE w:val="0"/>
        <w:autoSpaceDN w:val="0"/>
        <w:adjustRightInd w:val="0"/>
        <w:spacing w:after="0" w:line="240" w:lineRule="auto"/>
        <w:rPr>
          <w:rFonts w:cs="Helvetica"/>
          <w:color w:val="000000"/>
          <w:szCs w:val="20"/>
        </w:rPr>
      </w:pPr>
    </w:p>
    <w:p w14:paraId="6B88E4C5" w14:textId="3875433B" w:rsidR="009459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49</w:t>
      </w:r>
      <w:r>
        <w:rPr>
          <w:rFonts w:cs="Helvetica"/>
          <w:color w:val="000000"/>
          <w:szCs w:val="20"/>
        </w:rPr>
        <w:t xml:space="preserve">. </w:t>
      </w:r>
      <w:r w:rsidR="00140A36" w:rsidRPr="0069787F">
        <w:rPr>
          <w:rFonts w:cs="Helvetica"/>
          <w:color w:val="000000"/>
          <w:szCs w:val="20"/>
        </w:rPr>
        <w:t>This calculation is completed for every half hour and the values summated over the billing</w:t>
      </w:r>
      <w:r w:rsidR="00E1246A" w:rsidRPr="0069787F">
        <w:rPr>
          <w:rFonts w:cs="Helvetica"/>
          <w:color w:val="000000"/>
          <w:szCs w:val="20"/>
        </w:rPr>
        <w:t xml:space="preserve"> </w:t>
      </w:r>
      <w:r w:rsidR="0026642A" w:rsidRPr="0069787F">
        <w:rPr>
          <w:rFonts w:cs="Helvetica"/>
          <w:color w:val="000000"/>
          <w:szCs w:val="20"/>
        </w:rPr>
        <w:t>period.</w:t>
      </w:r>
    </w:p>
    <w:p w14:paraId="7DBD5B7D" w14:textId="77777777" w:rsidR="00443EAF" w:rsidRPr="00E1246A" w:rsidRDefault="00443EAF" w:rsidP="00140A36">
      <w:pPr>
        <w:autoSpaceDE w:val="0"/>
        <w:autoSpaceDN w:val="0"/>
        <w:adjustRightInd w:val="0"/>
        <w:spacing w:after="0" w:line="240" w:lineRule="auto"/>
        <w:rPr>
          <w:rFonts w:ascii="Book Antiqua" w:hAnsi="Book Antiqua" w:cs="Helvetica"/>
          <w:color w:val="000000"/>
          <w:szCs w:val="20"/>
        </w:rPr>
      </w:pPr>
    </w:p>
    <w:p w14:paraId="646BC969" w14:textId="77777777" w:rsidR="0026642A" w:rsidRPr="00E1246A" w:rsidRDefault="0026642A" w:rsidP="00140A36">
      <w:pPr>
        <w:autoSpaceDE w:val="0"/>
        <w:autoSpaceDN w:val="0"/>
        <w:adjustRightInd w:val="0"/>
        <w:spacing w:after="0" w:line="240" w:lineRule="auto"/>
        <w:rPr>
          <w:rFonts w:ascii="Book Antiqua" w:hAnsi="Book Antiqua" w:cs="Helvetica"/>
          <w:color w:val="000000"/>
          <w:szCs w:val="20"/>
        </w:rPr>
      </w:pPr>
    </w:p>
    <w:p w14:paraId="161ABCDB" w14:textId="77777777" w:rsidR="0026642A" w:rsidRPr="00443EAF" w:rsidRDefault="00140A36" w:rsidP="00443EAF">
      <w:pPr>
        <w:pStyle w:val="Subtitle"/>
        <w:rPr>
          <w:rFonts w:cs="Helvetica"/>
          <w:szCs w:val="20"/>
          <w:u w:val="single"/>
        </w:rPr>
      </w:pPr>
      <w:r w:rsidRPr="00443EAF">
        <w:rPr>
          <w:sz w:val="24"/>
          <w:u w:val="single"/>
        </w:rPr>
        <w:t>Generation Chargeable Reactive Power</w:t>
      </w:r>
    </w:p>
    <w:p w14:paraId="1ACBCCC4" w14:textId="77777777" w:rsidR="0026642A" w:rsidRPr="00CD4EDF" w:rsidRDefault="0026642A" w:rsidP="00140A36">
      <w:pPr>
        <w:autoSpaceDE w:val="0"/>
        <w:autoSpaceDN w:val="0"/>
        <w:adjustRightInd w:val="0"/>
        <w:spacing w:after="0" w:line="240" w:lineRule="auto"/>
        <w:rPr>
          <w:rFonts w:ascii="Book Antiqua" w:hAnsi="Book Antiqua" w:cs="Helvetica"/>
          <w:color w:val="000000"/>
          <w:sz w:val="20"/>
          <w:szCs w:val="20"/>
        </w:rPr>
      </w:pPr>
    </w:p>
    <w:p w14:paraId="177B3F51" w14:textId="77777777" w:rsidR="00AC3DF7" w:rsidRDefault="00AC3DF7" w:rsidP="00AC3DF7">
      <w:pPr>
        <w:autoSpaceDE w:val="0"/>
        <w:autoSpaceDN w:val="0"/>
        <w:adjustRightInd w:val="0"/>
        <w:spacing w:after="0" w:line="240" w:lineRule="auto"/>
        <w:jc w:val="center"/>
        <w:rPr>
          <w:rFonts w:ascii="Book Antiqua" w:hAnsi="Book Antiqua" w:cs="Helvetica-Bold"/>
          <w:bCs/>
          <w:color w:val="000000"/>
        </w:rPr>
      </w:pPr>
      <w:r>
        <w:rPr>
          <w:noProof/>
          <w:lang w:eastAsia="en-GB"/>
        </w:rPr>
        <w:drawing>
          <wp:inline distT="0" distB="0" distL="0" distR="0" wp14:anchorId="069011D4" wp14:editId="6008B407">
            <wp:extent cx="5965308" cy="704191"/>
            <wp:effectExtent l="0" t="0" r="0" b="1270"/>
            <wp:docPr id="9" name="Picture 9" descr="C:\Users\lucy\AppData\Local\Microsoft\Windows\Temporary Internet Files\Content.Word\New Picture (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ucy\AppData\Local\Microsoft\Windows\Temporary Internet Files\Content.Word\New Picture (6).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1929" cy="712056"/>
                    </a:xfrm>
                    <a:prstGeom prst="rect">
                      <a:avLst/>
                    </a:prstGeom>
                    <a:noFill/>
                    <a:ln>
                      <a:noFill/>
                    </a:ln>
                  </pic:spPr>
                </pic:pic>
              </a:graphicData>
            </a:graphic>
          </wp:inline>
        </w:drawing>
      </w:r>
    </w:p>
    <w:p w14:paraId="6E38BE2C" w14:textId="77777777" w:rsidR="006B119E" w:rsidRDefault="006B119E" w:rsidP="00140A36">
      <w:pPr>
        <w:autoSpaceDE w:val="0"/>
        <w:autoSpaceDN w:val="0"/>
        <w:adjustRightInd w:val="0"/>
        <w:spacing w:after="0" w:line="240" w:lineRule="auto"/>
        <w:rPr>
          <w:rFonts w:cs="Helvetica"/>
          <w:color w:val="000000"/>
          <w:szCs w:val="20"/>
        </w:rPr>
      </w:pPr>
    </w:p>
    <w:p w14:paraId="11E47D39" w14:textId="77777777" w:rsidR="006B119E" w:rsidRDefault="006B119E" w:rsidP="00140A36">
      <w:pPr>
        <w:autoSpaceDE w:val="0"/>
        <w:autoSpaceDN w:val="0"/>
        <w:adjustRightInd w:val="0"/>
        <w:spacing w:after="0" w:line="240" w:lineRule="auto"/>
        <w:rPr>
          <w:rFonts w:cs="Helvetica"/>
          <w:color w:val="000000"/>
          <w:szCs w:val="20"/>
        </w:rPr>
      </w:pPr>
    </w:p>
    <w:p w14:paraId="05A4A217"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Where:</w:t>
      </w:r>
    </w:p>
    <w:p w14:paraId="17EB108B" w14:textId="77777777" w:rsidR="000A5D73" w:rsidRPr="0069787F" w:rsidRDefault="000A5D73" w:rsidP="00140A36">
      <w:pPr>
        <w:autoSpaceDE w:val="0"/>
        <w:autoSpaceDN w:val="0"/>
        <w:adjustRightInd w:val="0"/>
        <w:spacing w:after="0" w:line="240" w:lineRule="auto"/>
        <w:rPr>
          <w:rFonts w:cs="Helvetica"/>
          <w:color w:val="000000"/>
          <w:szCs w:val="20"/>
        </w:rPr>
      </w:pPr>
    </w:p>
    <w:p w14:paraId="2FE66336"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AE = Active Export (kWh)</w:t>
      </w:r>
    </w:p>
    <w:p w14:paraId="3478E9BB" w14:textId="77777777" w:rsidR="000A5D73" w:rsidRPr="0069787F" w:rsidRDefault="000A5D73" w:rsidP="00140A36">
      <w:pPr>
        <w:autoSpaceDE w:val="0"/>
        <w:autoSpaceDN w:val="0"/>
        <w:adjustRightInd w:val="0"/>
        <w:spacing w:after="0" w:line="240" w:lineRule="auto"/>
        <w:rPr>
          <w:rFonts w:cs="Helvetica"/>
          <w:color w:val="000000"/>
          <w:szCs w:val="20"/>
        </w:rPr>
      </w:pPr>
    </w:p>
    <w:p w14:paraId="1DAB7FFB"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RI = Reactive Import (kVArh)</w:t>
      </w:r>
    </w:p>
    <w:p w14:paraId="575979E1" w14:textId="77777777" w:rsidR="000A5D73" w:rsidRPr="0069787F" w:rsidRDefault="000A5D73" w:rsidP="00140A36">
      <w:pPr>
        <w:autoSpaceDE w:val="0"/>
        <w:autoSpaceDN w:val="0"/>
        <w:adjustRightInd w:val="0"/>
        <w:spacing w:after="0" w:line="240" w:lineRule="auto"/>
        <w:rPr>
          <w:rFonts w:cs="Helvetica"/>
          <w:color w:val="000000"/>
          <w:szCs w:val="20"/>
        </w:rPr>
      </w:pPr>
    </w:p>
    <w:p w14:paraId="1EA58156" w14:textId="77777777" w:rsidR="00140A36" w:rsidRPr="0069787F" w:rsidRDefault="00140A36" w:rsidP="00140A36">
      <w:pPr>
        <w:autoSpaceDE w:val="0"/>
        <w:autoSpaceDN w:val="0"/>
        <w:adjustRightInd w:val="0"/>
        <w:spacing w:after="0" w:line="240" w:lineRule="auto"/>
        <w:rPr>
          <w:rFonts w:cs="Helvetica"/>
          <w:color w:val="000000"/>
          <w:szCs w:val="20"/>
        </w:rPr>
      </w:pPr>
      <w:r w:rsidRPr="0069787F">
        <w:rPr>
          <w:rFonts w:cs="Helvetica"/>
          <w:color w:val="000000"/>
          <w:szCs w:val="20"/>
        </w:rPr>
        <w:t>RE = Reactive Export (kVArh)</w:t>
      </w:r>
    </w:p>
    <w:p w14:paraId="4E5F767D" w14:textId="77777777" w:rsidR="000A5D73" w:rsidRPr="0069787F" w:rsidRDefault="000A5D73" w:rsidP="00140A36">
      <w:pPr>
        <w:autoSpaceDE w:val="0"/>
        <w:autoSpaceDN w:val="0"/>
        <w:adjustRightInd w:val="0"/>
        <w:spacing w:after="0" w:line="240" w:lineRule="auto"/>
        <w:rPr>
          <w:rFonts w:cs="Helvetica"/>
          <w:color w:val="000000"/>
          <w:sz w:val="20"/>
          <w:szCs w:val="20"/>
        </w:rPr>
      </w:pPr>
    </w:p>
    <w:p w14:paraId="3F5186BB" w14:textId="0DC7371B"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50</w:t>
      </w:r>
      <w:r>
        <w:rPr>
          <w:rFonts w:cs="Helvetica"/>
          <w:color w:val="000000"/>
          <w:szCs w:val="20"/>
        </w:rPr>
        <w:t xml:space="preserve">. </w:t>
      </w:r>
      <w:r w:rsidR="00140A36" w:rsidRPr="0069787F">
        <w:rPr>
          <w:rFonts w:cs="Helvetica"/>
          <w:color w:val="000000"/>
          <w:szCs w:val="20"/>
        </w:rPr>
        <w:t>Only reactive import and reactive export values occurring at times of active export</w:t>
      </w:r>
      <w:r w:rsidR="004245F6" w:rsidRPr="0069787F">
        <w:rPr>
          <w:rFonts w:cs="Helvetica"/>
          <w:color w:val="000000"/>
          <w:szCs w:val="20"/>
        </w:rPr>
        <w:t xml:space="preserve"> </w:t>
      </w:r>
      <w:r w:rsidR="00140A36" w:rsidRPr="0069787F">
        <w:rPr>
          <w:rFonts w:cs="Helvetica"/>
          <w:color w:val="000000"/>
          <w:szCs w:val="20"/>
        </w:rPr>
        <w:t>are used</w:t>
      </w:r>
      <w:r w:rsidR="00AC3DF7" w:rsidRPr="0069787F">
        <w:rPr>
          <w:rFonts w:cs="Helvetica"/>
          <w:color w:val="000000"/>
          <w:szCs w:val="20"/>
        </w:rPr>
        <w:t xml:space="preserve"> </w:t>
      </w:r>
      <w:r w:rsidR="00140A36" w:rsidRPr="0069787F">
        <w:rPr>
          <w:rFonts w:cs="Helvetica"/>
          <w:color w:val="000000"/>
          <w:szCs w:val="20"/>
        </w:rPr>
        <w:t>in the calculation.</w:t>
      </w:r>
      <w:r w:rsidR="00617254" w:rsidRPr="0069787F">
        <w:rPr>
          <w:rFonts w:cs="Helvetica"/>
          <w:color w:val="000000"/>
          <w:szCs w:val="20"/>
        </w:rPr>
        <w:t xml:space="preserve"> Where data for two or more MPANs is aggregated for billing purposes the HH consumption values are summated prior to the calculation </w:t>
      </w:r>
      <w:r w:rsidR="000C101F" w:rsidRPr="0069787F">
        <w:rPr>
          <w:rFonts w:cs="Helvetica"/>
          <w:color w:val="000000"/>
          <w:szCs w:val="20"/>
        </w:rPr>
        <w:t xml:space="preserve">above. For sites which are importing and exporting in the same HH i.e. where active import is not equal to zero and active export is not equal to </w:t>
      </w:r>
      <w:r w:rsidR="006D3AE3" w:rsidRPr="0069787F">
        <w:rPr>
          <w:rFonts w:cs="Helvetica"/>
          <w:color w:val="000000"/>
          <w:szCs w:val="20"/>
        </w:rPr>
        <w:t>zero</w:t>
      </w:r>
      <w:r w:rsidR="000C101F" w:rsidRPr="0069787F">
        <w:rPr>
          <w:rFonts w:cs="Helvetica"/>
          <w:color w:val="000000"/>
          <w:szCs w:val="20"/>
        </w:rPr>
        <w:t>, no calculation for that HH is made and the result for that HH wo</w:t>
      </w:r>
      <w:r w:rsidR="00B37731">
        <w:rPr>
          <w:rFonts w:cs="Helvetica"/>
          <w:color w:val="000000"/>
          <w:szCs w:val="20"/>
        </w:rPr>
        <w:t>u</w:t>
      </w:r>
      <w:r w:rsidR="000C101F" w:rsidRPr="0069787F">
        <w:rPr>
          <w:rFonts w:cs="Helvetica"/>
          <w:color w:val="000000"/>
          <w:szCs w:val="20"/>
        </w:rPr>
        <w:t>ld be zero.</w:t>
      </w:r>
    </w:p>
    <w:p w14:paraId="35AA8E4C" w14:textId="77777777" w:rsidR="000A5D73" w:rsidRPr="0069787F" w:rsidRDefault="000A5D73" w:rsidP="00140A36">
      <w:pPr>
        <w:autoSpaceDE w:val="0"/>
        <w:autoSpaceDN w:val="0"/>
        <w:adjustRightInd w:val="0"/>
        <w:spacing w:after="0" w:line="240" w:lineRule="auto"/>
        <w:rPr>
          <w:rFonts w:cs="Helvetica"/>
          <w:color w:val="000000"/>
          <w:szCs w:val="20"/>
        </w:rPr>
      </w:pPr>
    </w:p>
    <w:p w14:paraId="6B21D5B2" w14:textId="5A7B14F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632ACD">
        <w:rPr>
          <w:rFonts w:cs="Helvetica"/>
          <w:color w:val="000000"/>
          <w:szCs w:val="20"/>
        </w:rPr>
        <w:t>51</w:t>
      </w:r>
      <w:r>
        <w:rPr>
          <w:rFonts w:cs="Helvetica"/>
          <w:color w:val="000000"/>
          <w:szCs w:val="20"/>
        </w:rPr>
        <w:t xml:space="preserve">. </w:t>
      </w:r>
      <w:r w:rsidR="00140A36" w:rsidRPr="0069787F">
        <w:rPr>
          <w:rFonts w:cs="Helvetica"/>
          <w:color w:val="000000"/>
          <w:szCs w:val="20"/>
        </w:rPr>
        <w:t>The square root calculation will be to two decimal places.</w:t>
      </w:r>
    </w:p>
    <w:p w14:paraId="0C0FF093" w14:textId="77777777" w:rsidR="003E7091" w:rsidRDefault="003E7091" w:rsidP="00140A36">
      <w:pPr>
        <w:autoSpaceDE w:val="0"/>
        <w:autoSpaceDN w:val="0"/>
        <w:adjustRightInd w:val="0"/>
        <w:spacing w:after="0" w:line="240" w:lineRule="auto"/>
        <w:rPr>
          <w:rFonts w:cs="Helvetica"/>
          <w:color w:val="000000"/>
          <w:szCs w:val="20"/>
        </w:rPr>
      </w:pPr>
    </w:p>
    <w:p w14:paraId="254F50D1" w14:textId="77777777" w:rsidR="009715CB" w:rsidRDefault="009715CB" w:rsidP="00140A36">
      <w:pPr>
        <w:autoSpaceDE w:val="0"/>
        <w:autoSpaceDN w:val="0"/>
        <w:adjustRightInd w:val="0"/>
        <w:spacing w:after="0" w:line="240" w:lineRule="auto"/>
        <w:rPr>
          <w:rFonts w:cs="Helvetica"/>
          <w:color w:val="000000"/>
          <w:szCs w:val="20"/>
        </w:rPr>
      </w:pPr>
    </w:p>
    <w:p w14:paraId="5A8CE1E3" w14:textId="44A7E7BE" w:rsidR="00CB0F28"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2.5</w:t>
      </w:r>
      <w:r w:rsidR="00632ACD">
        <w:rPr>
          <w:rFonts w:cs="Helvetica"/>
          <w:color w:val="000000"/>
          <w:szCs w:val="20"/>
        </w:rPr>
        <w:t>2</w:t>
      </w:r>
      <w:r>
        <w:rPr>
          <w:rFonts w:cs="Helvetica"/>
          <w:color w:val="000000"/>
          <w:szCs w:val="20"/>
        </w:rPr>
        <w:t xml:space="preserve">. </w:t>
      </w:r>
      <w:r w:rsidR="00140A36" w:rsidRPr="0069787F">
        <w:rPr>
          <w:rFonts w:cs="Helvetica"/>
          <w:color w:val="000000"/>
          <w:szCs w:val="20"/>
        </w:rPr>
        <w:t>This calculation is completed for every half hour and the values summated over the billing</w:t>
      </w:r>
      <w:r w:rsidR="00AC3DF7" w:rsidRPr="0069787F">
        <w:rPr>
          <w:rFonts w:cs="Helvetica"/>
          <w:color w:val="000000"/>
          <w:szCs w:val="20"/>
        </w:rPr>
        <w:t xml:space="preserve"> </w:t>
      </w:r>
      <w:r w:rsidR="00140A36" w:rsidRPr="0069787F">
        <w:rPr>
          <w:rFonts w:cs="Helvetica"/>
          <w:color w:val="000000"/>
          <w:szCs w:val="20"/>
        </w:rPr>
        <w:t>period.</w:t>
      </w:r>
    </w:p>
    <w:p w14:paraId="69C29AED" w14:textId="77777777" w:rsidR="006D3AE3" w:rsidRPr="0069787F" w:rsidRDefault="006D3AE3" w:rsidP="00140A36">
      <w:pPr>
        <w:autoSpaceDE w:val="0"/>
        <w:autoSpaceDN w:val="0"/>
        <w:adjustRightInd w:val="0"/>
        <w:spacing w:after="0" w:line="240" w:lineRule="auto"/>
        <w:rPr>
          <w:rFonts w:cs="Helvetica"/>
          <w:color w:val="000000"/>
          <w:sz w:val="24"/>
          <w:szCs w:val="20"/>
          <w:u w:val="single"/>
        </w:rPr>
      </w:pPr>
    </w:p>
    <w:p w14:paraId="69BE71A7" w14:textId="77777777" w:rsidR="006D3AE3" w:rsidRPr="00443EAF" w:rsidRDefault="006D3AE3" w:rsidP="00443EAF">
      <w:pPr>
        <w:pStyle w:val="Subtitle"/>
        <w:rPr>
          <w:sz w:val="24"/>
          <w:u w:val="single"/>
        </w:rPr>
      </w:pPr>
      <w:r w:rsidRPr="00443EAF">
        <w:rPr>
          <w:sz w:val="24"/>
          <w:u w:val="single"/>
        </w:rPr>
        <w:t xml:space="preserve">Incorrectly </w:t>
      </w:r>
      <w:r w:rsidR="00116613">
        <w:rPr>
          <w:sz w:val="24"/>
          <w:u w:val="single"/>
        </w:rPr>
        <w:t>A</w:t>
      </w:r>
      <w:r w:rsidRPr="00443EAF">
        <w:rPr>
          <w:sz w:val="24"/>
          <w:u w:val="single"/>
        </w:rPr>
        <w:t xml:space="preserve">llocated </w:t>
      </w:r>
      <w:r w:rsidR="00116613">
        <w:rPr>
          <w:sz w:val="24"/>
          <w:u w:val="single"/>
        </w:rPr>
        <w:t>C</w:t>
      </w:r>
      <w:r w:rsidRPr="00443EAF">
        <w:rPr>
          <w:sz w:val="24"/>
          <w:u w:val="single"/>
        </w:rPr>
        <w:t xml:space="preserve">harges </w:t>
      </w:r>
    </w:p>
    <w:p w14:paraId="4A1B01AA" w14:textId="501B4BB5" w:rsidR="006D3AE3" w:rsidRPr="0069787F" w:rsidRDefault="006B119E" w:rsidP="006D3AE3">
      <w:pPr>
        <w:pStyle w:val="Default"/>
        <w:spacing w:after="273"/>
        <w:rPr>
          <w:rFonts w:asciiTheme="minorHAnsi" w:hAnsiTheme="minorHAnsi"/>
          <w:sz w:val="22"/>
          <w:szCs w:val="22"/>
        </w:rPr>
      </w:pPr>
      <w:r>
        <w:rPr>
          <w:rFonts w:asciiTheme="minorHAnsi" w:hAnsiTheme="minorHAnsi"/>
          <w:sz w:val="22"/>
          <w:szCs w:val="22"/>
        </w:rPr>
        <w:t>2.5</w:t>
      </w:r>
      <w:r w:rsidR="00632ACD">
        <w:rPr>
          <w:rFonts w:asciiTheme="minorHAnsi" w:hAnsiTheme="minorHAnsi"/>
          <w:sz w:val="22"/>
          <w:szCs w:val="22"/>
        </w:rPr>
        <w:t>3</w:t>
      </w:r>
      <w:r>
        <w:rPr>
          <w:rFonts w:asciiTheme="minorHAnsi" w:hAnsiTheme="minorHAnsi"/>
          <w:sz w:val="22"/>
          <w:szCs w:val="22"/>
        </w:rPr>
        <w:t xml:space="preserve">. </w:t>
      </w:r>
      <w:r w:rsidR="006D3AE3" w:rsidRPr="0069787F">
        <w:rPr>
          <w:rFonts w:asciiTheme="minorHAnsi" w:hAnsiTheme="minorHAnsi"/>
          <w:sz w:val="22"/>
          <w:szCs w:val="22"/>
        </w:rPr>
        <w:t xml:space="preserve">It is our responsibility to apply the correct charges to each MPAN/MSID. The allocation of charges is based on the voltage of connection and metering information. We are responsible for deciding the voltage of connection while the Supplier determines and provides the metering information. </w:t>
      </w:r>
    </w:p>
    <w:p w14:paraId="2397B5AF" w14:textId="6BAD8B62" w:rsidR="006D3AE3" w:rsidRPr="0069787F" w:rsidRDefault="00632ACD" w:rsidP="006D3AE3">
      <w:pPr>
        <w:pStyle w:val="Default"/>
        <w:spacing w:after="273"/>
        <w:rPr>
          <w:rFonts w:asciiTheme="minorHAnsi" w:hAnsiTheme="minorHAnsi"/>
          <w:sz w:val="22"/>
          <w:szCs w:val="22"/>
        </w:rPr>
      </w:pPr>
      <w:r>
        <w:rPr>
          <w:rFonts w:asciiTheme="minorHAnsi" w:hAnsiTheme="minorHAnsi"/>
          <w:sz w:val="22"/>
          <w:szCs w:val="22"/>
        </w:rPr>
        <w:t>2.54</w:t>
      </w:r>
      <w:r w:rsidR="006B119E">
        <w:rPr>
          <w:rFonts w:asciiTheme="minorHAnsi" w:hAnsiTheme="minorHAnsi"/>
          <w:sz w:val="22"/>
          <w:szCs w:val="22"/>
        </w:rPr>
        <w:t xml:space="preserve">. </w:t>
      </w:r>
      <w:r w:rsidR="006D3AE3" w:rsidRPr="0069787F">
        <w:rPr>
          <w:rFonts w:asciiTheme="minorHAnsi" w:hAnsiTheme="minorHAnsi"/>
          <w:sz w:val="22"/>
          <w:szCs w:val="22"/>
        </w:rPr>
        <w:t>Generally, the voltage of connection is determined by where the metering is located and where responsibility for the electrical equipment transfers from us to the connected customer. This is normally established when the MPAN/MSID is created and will include information about whether the MPAN/MSID is for import or export</w:t>
      </w:r>
      <w:r w:rsidR="006D3AE3">
        <w:rPr>
          <w:sz w:val="22"/>
          <w:szCs w:val="22"/>
        </w:rPr>
        <w:t xml:space="preserve"> </w:t>
      </w:r>
      <w:r w:rsidR="006D3AE3" w:rsidRPr="0069787F">
        <w:rPr>
          <w:rFonts w:asciiTheme="minorHAnsi" w:hAnsiTheme="minorHAnsi"/>
          <w:sz w:val="22"/>
          <w:szCs w:val="22"/>
        </w:rPr>
        <w:t xml:space="preserve">purposes. Where an MPAN/MSID is used for export purposes the type of generation (intermittent or non-intermittent) will also be determined. </w:t>
      </w:r>
    </w:p>
    <w:p w14:paraId="0E21D218" w14:textId="6F23F172" w:rsidR="006D3AE3" w:rsidRPr="0069787F" w:rsidRDefault="00632ACD" w:rsidP="006D3AE3">
      <w:pPr>
        <w:pStyle w:val="Default"/>
        <w:rPr>
          <w:rFonts w:asciiTheme="minorHAnsi" w:hAnsiTheme="minorHAnsi"/>
          <w:color w:val="auto"/>
          <w:sz w:val="22"/>
          <w:szCs w:val="22"/>
        </w:rPr>
      </w:pPr>
      <w:r>
        <w:rPr>
          <w:rFonts w:asciiTheme="minorHAnsi" w:hAnsiTheme="minorHAnsi"/>
          <w:sz w:val="22"/>
          <w:szCs w:val="22"/>
        </w:rPr>
        <w:t>2.55</w:t>
      </w:r>
      <w:r w:rsidR="006B119E">
        <w:rPr>
          <w:rFonts w:asciiTheme="minorHAnsi" w:hAnsiTheme="minorHAnsi"/>
          <w:sz w:val="22"/>
          <w:szCs w:val="22"/>
        </w:rPr>
        <w:t xml:space="preserve">. </w:t>
      </w:r>
      <w:r w:rsidR="006D3AE3" w:rsidRPr="0069787F">
        <w:rPr>
          <w:rFonts w:asciiTheme="minorHAnsi" w:hAnsiTheme="minorHAnsi"/>
          <w:sz w:val="22"/>
          <w:szCs w:val="22"/>
        </w:rPr>
        <w:t xml:space="preserve">The Supplier provides us with metering information which enables us to allocate charges where there is more than one charge per voltage level. This metering </w:t>
      </w:r>
      <w:r w:rsidR="006D3AE3" w:rsidRPr="0069787F">
        <w:rPr>
          <w:rFonts w:asciiTheme="minorHAnsi" w:hAnsiTheme="minorHAnsi"/>
          <w:color w:val="auto"/>
          <w:sz w:val="22"/>
          <w:szCs w:val="22"/>
        </w:rPr>
        <w:t xml:space="preserve">data is likely to change over time if, for example, a Supplier changes from a two rate meter to a single rate meter. When this happens we will change the allocation of charges accordingly. </w:t>
      </w:r>
    </w:p>
    <w:p w14:paraId="42859C30" w14:textId="77777777" w:rsidR="006D3AE3" w:rsidRPr="0069787F" w:rsidRDefault="006D3AE3" w:rsidP="006D3AE3">
      <w:pPr>
        <w:pStyle w:val="Default"/>
        <w:rPr>
          <w:rFonts w:asciiTheme="minorHAnsi" w:hAnsiTheme="minorHAnsi"/>
          <w:color w:val="auto"/>
          <w:sz w:val="22"/>
          <w:szCs w:val="22"/>
        </w:rPr>
      </w:pPr>
    </w:p>
    <w:p w14:paraId="1AC5C37E" w14:textId="02B50E6E" w:rsidR="006D3AE3" w:rsidRPr="0069787F" w:rsidRDefault="006B119E" w:rsidP="006D3AE3">
      <w:pPr>
        <w:pStyle w:val="Default"/>
        <w:spacing w:after="273"/>
        <w:rPr>
          <w:rFonts w:asciiTheme="minorHAnsi" w:hAnsiTheme="minorHAnsi"/>
          <w:color w:val="auto"/>
          <w:sz w:val="22"/>
          <w:szCs w:val="22"/>
        </w:rPr>
      </w:pPr>
      <w:r>
        <w:rPr>
          <w:rFonts w:asciiTheme="minorHAnsi" w:hAnsiTheme="minorHAnsi"/>
          <w:color w:val="auto"/>
          <w:sz w:val="22"/>
          <w:szCs w:val="22"/>
        </w:rPr>
        <w:t>2.</w:t>
      </w:r>
      <w:r w:rsidR="00632ACD">
        <w:rPr>
          <w:rFonts w:asciiTheme="minorHAnsi" w:hAnsiTheme="minorHAnsi"/>
          <w:color w:val="auto"/>
          <w:sz w:val="22"/>
          <w:szCs w:val="22"/>
        </w:rPr>
        <w:t>56</w:t>
      </w:r>
      <w:r>
        <w:rPr>
          <w:rFonts w:asciiTheme="minorHAnsi" w:hAnsiTheme="minorHAnsi"/>
          <w:color w:val="auto"/>
          <w:sz w:val="22"/>
          <w:szCs w:val="22"/>
        </w:rPr>
        <w:t xml:space="preserve">. </w:t>
      </w:r>
      <w:r w:rsidR="006D3AE3" w:rsidRPr="0069787F">
        <w:rPr>
          <w:rFonts w:asciiTheme="minorHAnsi" w:hAnsiTheme="minorHAnsi"/>
          <w:color w:val="auto"/>
          <w:sz w:val="22"/>
          <w:szCs w:val="22"/>
        </w:rPr>
        <w:t xml:space="preserve">Where it has been identified that a charge is likely to be incorrectly allocated due to the wrong voltage of connection (or import/export details) then a correction request must be made to us. Requests from persons other than the current Supplier must be accompanied by a Letter of Authority from the Customer; the existing Supplier must also be informed. Any request must be supported by an explanation of why it is believed that the current charge is wrongly applied along with supporting information, including, where appropriate photographs of metering positions or system diagrams. Any request to correct the current charge that also includes a request to backdate the correction must include justification as to why it is considered appropriate to backdate the change. </w:t>
      </w:r>
    </w:p>
    <w:p w14:paraId="2FE97B63" w14:textId="09A52F0B" w:rsidR="006D3AE3" w:rsidRPr="0069787F" w:rsidRDefault="006B119E" w:rsidP="006D3AE3">
      <w:pPr>
        <w:pStyle w:val="Default"/>
        <w:spacing w:after="273"/>
        <w:rPr>
          <w:rFonts w:asciiTheme="minorHAnsi" w:hAnsiTheme="minorHAnsi"/>
          <w:color w:val="auto"/>
          <w:sz w:val="22"/>
          <w:szCs w:val="22"/>
        </w:rPr>
      </w:pPr>
      <w:r>
        <w:rPr>
          <w:rFonts w:asciiTheme="minorHAnsi" w:hAnsiTheme="minorHAnsi"/>
          <w:color w:val="auto"/>
          <w:sz w:val="22"/>
          <w:szCs w:val="22"/>
        </w:rPr>
        <w:t>2.</w:t>
      </w:r>
      <w:r w:rsidR="00632ACD">
        <w:rPr>
          <w:rFonts w:asciiTheme="minorHAnsi" w:hAnsiTheme="minorHAnsi"/>
          <w:color w:val="auto"/>
          <w:sz w:val="22"/>
          <w:szCs w:val="22"/>
        </w:rPr>
        <w:t>57</w:t>
      </w:r>
      <w:r>
        <w:rPr>
          <w:rFonts w:asciiTheme="minorHAnsi" w:hAnsiTheme="minorHAnsi"/>
          <w:color w:val="auto"/>
          <w:sz w:val="22"/>
          <w:szCs w:val="22"/>
        </w:rPr>
        <w:t xml:space="preserve">. </w:t>
      </w:r>
      <w:r w:rsidR="006D3AE3" w:rsidRPr="0069787F">
        <w:rPr>
          <w:rFonts w:asciiTheme="minorHAnsi" w:hAnsiTheme="minorHAnsi"/>
          <w:color w:val="auto"/>
          <w:sz w:val="22"/>
          <w:szCs w:val="22"/>
        </w:rPr>
        <w:t xml:space="preserve">If it has been identified that a charge has been incorrectly allocated due to the metering data then a correction request should be made to the Supplier. </w:t>
      </w:r>
    </w:p>
    <w:p w14:paraId="2B2F4ACD" w14:textId="284C2B7E" w:rsidR="006D3AE3" w:rsidRPr="0069787F" w:rsidRDefault="006B119E" w:rsidP="006D3AE3">
      <w:pPr>
        <w:pStyle w:val="Default"/>
        <w:rPr>
          <w:rFonts w:asciiTheme="minorHAnsi" w:hAnsiTheme="minorHAnsi"/>
          <w:color w:val="auto"/>
          <w:sz w:val="22"/>
          <w:szCs w:val="22"/>
        </w:rPr>
      </w:pPr>
      <w:r>
        <w:rPr>
          <w:rFonts w:asciiTheme="minorHAnsi" w:hAnsiTheme="minorHAnsi"/>
          <w:color w:val="auto"/>
          <w:sz w:val="22"/>
          <w:szCs w:val="22"/>
        </w:rPr>
        <w:t>2.</w:t>
      </w:r>
      <w:r w:rsidR="00632ACD">
        <w:rPr>
          <w:rFonts w:asciiTheme="minorHAnsi" w:hAnsiTheme="minorHAnsi"/>
          <w:color w:val="auto"/>
          <w:sz w:val="22"/>
          <w:szCs w:val="22"/>
        </w:rPr>
        <w:t>58</w:t>
      </w:r>
      <w:r>
        <w:rPr>
          <w:rFonts w:asciiTheme="minorHAnsi" w:hAnsiTheme="minorHAnsi"/>
          <w:color w:val="auto"/>
          <w:sz w:val="22"/>
          <w:szCs w:val="22"/>
        </w:rPr>
        <w:t xml:space="preserve">. </w:t>
      </w:r>
      <w:r w:rsidR="006D3AE3" w:rsidRPr="0069787F">
        <w:rPr>
          <w:rFonts w:asciiTheme="minorHAnsi" w:hAnsiTheme="minorHAnsi"/>
          <w:color w:val="auto"/>
          <w:sz w:val="22"/>
          <w:szCs w:val="22"/>
        </w:rPr>
        <w:t xml:space="preserve">Where we agree that an MPAN/MSID has been assigned to the wrong voltage level then we will correct it by allocating the correct set of charges for that voltage level. Any adjustment for incorrectly applied charges will be as follows: </w:t>
      </w:r>
    </w:p>
    <w:p w14:paraId="5055590A" w14:textId="77777777" w:rsidR="006D3AE3" w:rsidRPr="0069787F" w:rsidRDefault="006D3AE3" w:rsidP="006D3AE3">
      <w:pPr>
        <w:pStyle w:val="Default"/>
        <w:rPr>
          <w:rFonts w:asciiTheme="minorHAnsi" w:hAnsiTheme="minorHAnsi"/>
          <w:color w:val="auto"/>
          <w:sz w:val="22"/>
          <w:szCs w:val="22"/>
        </w:rPr>
      </w:pPr>
    </w:p>
    <w:p w14:paraId="7545A1CE" w14:textId="77777777" w:rsidR="006D3AE3" w:rsidRPr="0069787F" w:rsidRDefault="006D3AE3" w:rsidP="006D3AE3">
      <w:pPr>
        <w:pStyle w:val="Default"/>
        <w:numPr>
          <w:ilvl w:val="0"/>
          <w:numId w:val="8"/>
        </w:numPr>
        <w:spacing w:after="276"/>
        <w:rPr>
          <w:rFonts w:asciiTheme="minorHAnsi" w:hAnsiTheme="minorHAnsi"/>
          <w:color w:val="auto"/>
          <w:sz w:val="22"/>
          <w:szCs w:val="22"/>
        </w:rPr>
      </w:pPr>
      <w:r w:rsidRPr="0069787F">
        <w:rPr>
          <w:rFonts w:asciiTheme="minorHAnsi" w:hAnsiTheme="minorHAnsi"/>
          <w:color w:val="auto"/>
          <w:sz w:val="22"/>
          <w:szCs w:val="22"/>
        </w:rPr>
        <w:t xml:space="preserve">Any credit or additional charge will be issued to the Supplier/s who were effective during the period of the change. </w:t>
      </w:r>
    </w:p>
    <w:p w14:paraId="0B5D5F7D" w14:textId="77777777" w:rsidR="006D3AE3" w:rsidRPr="0069787F" w:rsidRDefault="006D3AE3" w:rsidP="006D3AE3">
      <w:pPr>
        <w:pStyle w:val="Default"/>
        <w:numPr>
          <w:ilvl w:val="0"/>
          <w:numId w:val="8"/>
        </w:numPr>
        <w:spacing w:after="276"/>
        <w:rPr>
          <w:rFonts w:asciiTheme="minorHAnsi" w:hAnsiTheme="minorHAnsi"/>
          <w:color w:val="auto"/>
          <w:sz w:val="22"/>
          <w:szCs w:val="22"/>
        </w:rPr>
      </w:pPr>
      <w:r w:rsidRPr="0069787F">
        <w:rPr>
          <w:rFonts w:asciiTheme="minorHAnsi" w:hAnsiTheme="minorHAnsi"/>
          <w:color w:val="auto"/>
          <w:sz w:val="22"/>
          <w:szCs w:val="22"/>
        </w:rPr>
        <w:t xml:space="preserve">The correction will be applied from the date of the request, back to the date of the incorrect allocation or, up to the maximum period specified by: the Limitation Act (1980), in England and Wales, which covers a six year period; or, the Prescription and Limitation (Scotland) Act 1973, which covers a five year period; whichever is the shorter. </w:t>
      </w:r>
    </w:p>
    <w:p w14:paraId="1824F76F" w14:textId="1D64E874" w:rsidR="006D3AE3" w:rsidRPr="0069787F" w:rsidRDefault="006B119E" w:rsidP="006D3AE3">
      <w:pPr>
        <w:pStyle w:val="Default"/>
        <w:spacing w:after="273"/>
        <w:rPr>
          <w:rFonts w:asciiTheme="minorHAnsi" w:hAnsiTheme="minorHAnsi"/>
          <w:color w:val="auto"/>
          <w:sz w:val="22"/>
          <w:szCs w:val="22"/>
        </w:rPr>
      </w:pPr>
      <w:r>
        <w:rPr>
          <w:rFonts w:asciiTheme="minorHAnsi" w:hAnsiTheme="minorHAnsi"/>
          <w:color w:val="auto"/>
          <w:sz w:val="22"/>
          <w:szCs w:val="22"/>
        </w:rPr>
        <w:t>2.</w:t>
      </w:r>
      <w:r w:rsidR="00632ACD">
        <w:rPr>
          <w:rFonts w:asciiTheme="minorHAnsi" w:hAnsiTheme="minorHAnsi"/>
          <w:color w:val="auto"/>
          <w:sz w:val="22"/>
          <w:szCs w:val="22"/>
        </w:rPr>
        <w:t>59</w:t>
      </w:r>
      <w:r>
        <w:rPr>
          <w:rFonts w:asciiTheme="minorHAnsi" w:hAnsiTheme="minorHAnsi"/>
          <w:color w:val="auto"/>
          <w:sz w:val="22"/>
          <w:szCs w:val="22"/>
        </w:rPr>
        <w:t xml:space="preserve">. </w:t>
      </w:r>
      <w:r w:rsidR="006D3AE3" w:rsidRPr="0069787F">
        <w:rPr>
          <w:rFonts w:asciiTheme="minorHAnsi" w:hAnsiTheme="minorHAnsi"/>
          <w:color w:val="auto"/>
          <w:sz w:val="22"/>
          <w:szCs w:val="22"/>
        </w:rPr>
        <w:t xml:space="preserve">Should we reject the request a justification will be provided to the requesting Party. </w:t>
      </w:r>
    </w:p>
    <w:p w14:paraId="5D351991" w14:textId="1BB19A08" w:rsidR="006D3AE3" w:rsidRPr="0069787F" w:rsidRDefault="00377F62" w:rsidP="006D3AE3">
      <w:pPr>
        <w:pStyle w:val="Default"/>
        <w:rPr>
          <w:rFonts w:asciiTheme="minorHAnsi" w:hAnsiTheme="minorHAnsi"/>
          <w:color w:val="auto"/>
          <w:sz w:val="22"/>
          <w:szCs w:val="22"/>
        </w:rPr>
      </w:pPr>
      <w:r>
        <w:rPr>
          <w:rFonts w:asciiTheme="minorHAnsi" w:hAnsiTheme="minorHAnsi"/>
          <w:color w:val="auto"/>
          <w:sz w:val="22"/>
          <w:szCs w:val="22"/>
        </w:rPr>
        <w:t>2.</w:t>
      </w:r>
      <w:r w:rsidR="00632ACD">
        <w:rPr>
          <w:rFonts w:asciiTheme="minorHAnsi" w:hAnsiTheme="minorHAnsi"/>
          <w:color w:val="auto"/>
          <w:sz w:val="22"/>
          <w:szCs w:val="22"/>
        </w:rPr>
        <w:t>60</w:t>
      </w:r>
      <w:r w:rsidR="006B119E">
        <w:rPr>
          <w:rFonts w:asciiTheme="minorHAnsi" w:hAnsiTheme="minorHAnsi"/>
          <w:color w:val="auto"/>
          <w:sz w:val="22"/>
          <w:szCs w:val="22"/>
        </w:rPr>
        <w:t xml:space="preserve">. </w:t>
      </w:r>
      <w:r w:rsidR="006D3AE3" w:rsidRPr="0069787F">
        <w:rPr>
          <w:rFonts w:asciiTheme="minorHAnsi" w:hAnsiTheme="minorHAnsi"/>
          <w:color w:val="auto"/>
          <w:sz w:val="22"/>
          <w:szCs w:val="22"/>
        </w:rPr>
        <w:t xml:space="preserve">We shall not unreasonably withhold or delay any agreement to correct the charges applied and would expect to reach agreement within three months from the date of request. </w:t>
      </w:r>
    </w:p>
    <w:p w14:paraId="5922AB03" w14:textId="77777777" w:rsidR="006D3AE3" w:rsidRDefault="006D3AE3" w:rsidP="00140A36">
      <w:pPr>
        <w:autoSpaceDE w:val="0"/>
        <w:autoSpaceDN w:val="0"/>
        <w:adjustRightInd w:val="0"/>
        <w:spacing w:after="0" w:line="240" w:lineRule="auto"/>
        <w:rPr>
          <w:rFonts w:ascii="Book Antiqua" w:hAnsi="Book Antiqua" w:cs="Helvetica"/>
          <w:color w:val="000000"/>
          <w:szCs w:val="20"/>
        </w:rPr>
      </w:pPr>
    </w:p>
    <w:p w14:paraId="22077C0A" w14:textId="77777777" w:rsidR="00451F58" w:rsidRDefault="00451F58" w:rsidP="008308F2">
      <w:pPr>
        <w:pStyle w:val="Subtitle"/>
        <w:rPr>
          <w:sz w:val="24"/>
          <w:u w:val="single"/>
        </w:rPr>
      </w:pPr>
    </w:p>
    <w:p w14:paraId="6EDC1EEA" w14:textId="77777777" w:rsidR="009715CB" w:rsidRPr="009715CB" w:rsidRDefault="009715CB" w:rsidP="009715CB"/>
    <w:p w14:paraId="142E5F55" w14:textId="77777777" w:rsidR="008308F2" w:rsidRPr="008308F2" w:rsidRDefault="00231E9B" w:rsidP="008308F2">
      <w:pPr>
        <w:pStyle w:val="Subtitle"/>
        <w:rPr>
          <w:sz w:val="24"/>
          <w:u w:val="single"/>
        </w:rPr>
      </w:pPr>
      <w:r>
        <w:rPr>
          <w:sz w:val="24"/>
          <w:u w:val="single"/>
        </w:rPr>
        <w:lastRenderedPageBreak/>
        <w:t>Generation Charges F</w:t>
      </w:r>
      <w:r w:rsidR="008308F2" w:rsidRPr="008308F2">
        <w:rPr>
          <w:sz w:val="24"/>
          <w:u w:val="single"/>
        </w:rPr>
        <w:t xml:space="preserve">or </w:t>
      </w:r>
      <w:r>
        <w:rPr>
          <w:sz w:val="24"/>
          <w:u w:val="single"/>
        </w:rPr>
        <w:t>Pre-2005 Designated EHV P</w:t>
      </w:r>
      <w:r w:rsidR="008308F2" w:rsidRPr="008308F2">
        <w:rPr>
          <w:sz w:val="24"/>
          <w:u w:val="single"/>
        </w:rPr>
        <w:t xml:space="preserve">roperties </w:t>
      </w:r>
    </w:p>
    <w:p w14:paraId="520BEF3C" w14:textId="46BA07DF" w:rsidR="008308F2" w:rsidRDefault="006B119E" w:rsidP="008308F2">
      <w:pPr>
        <w:autoSpaceDE w:val="0"/>
        <w:autoSpaceDN w:val="0"/>
        <w:adjustRightInd w:val="0"/>
        <w:spacing w:after="0" w:line="240" w:lineRule="auto"/>
        <w:rPr>
          <w:rFonts w:cs="Arial"/>
          <w:color w:val="000000"/>
        </w:rPr>
      </w:pPr>
      <w:r>
        <w:rPr>
          <w:rFonts w:cs="Arial"/>
          <w:color w:val="000000"/>
        </w:rPr>
        <w:t>2.</w:t>
      </w:r>
      <w:r w:rsidR="00632ACD">
        <w:rPr>
          <w:rFonts w:cs="Arial"/>
          <w:color w:val="000000"/>
        </w:rPr>
        <w:t>61</w:t>
      </w:r>
      <w:r>
        <w:rPr>
          <w:rFonts w:cs="Arial"/>
          <w:color w:val="000000"/>
        </w:rPr>
        <w:t xml:space="preserve">. </w:t>
      </w:r>
      <w:r w:rsidR="008308F2" w:rsidRPr="008308F2">
        <w:rPr>
          <w:rFonts w:cs="Arial"/>
          <w:color w:val="000000"/>
        </w:rPr>
        <w:t xml:space="preserve">Designated EHV Properties that were connected to the distribution system under a pre-2005 connection charging policy are eligible for exemption from UoS charges for generation unless one of the following criteria has been met: </w:t>
      </w:r>
    </w:p>
    <w:p w14:paraId="2EE5A2D8" w14:textId="77777777" w:rsidR="008308F2" w:rsidRDefault="008308F2" w:rsidP="008308F2">
      <w:pPr>
        <w:autoSpaceDE w:val="0"/>
        <w:autoSpaceDN w:val="0"/>
        <w:adjustRightInd w:val="0"/>
        <w:spacing w:after="0" w:line="240" w:lineRule="auto"/>
        <w:rPr>
          <w:rFonts w:cs="Arial"/>
          <w:color w:val="000000"/>
        </w:rPr>
      </w:pPr>
    </w:p>
    <w:p w14:paraId="3AA50E56" w14:textId="77777777" w:rsidR="008308F2" w:rsidRPr="008308F2" w:rsidRDefault="008308F2" w:rsidP="008308F2">
      <w:pPr>
        <w:pStyle w:val="ListParagraph"/>
        <w:numPr>
          <w:ilvl w:val="0"/>
          <w:numId w:val="11"/>
        </w:numPr>
        <w:autoSpaceDE w:val="0"/>
        <w:autoSpaceDN w:val="0"/>
        <w:adjustRightInd w:val="0"/>
        <w:spacing w:after="0" w:line="240" w:lineRule="auto"/>
        <w:rPr>
          <w:rFonts w:cs="Arial"/>
        </w:rPr>
      </w:pPr>
      <w:r w:rsidRPr="008308F2">
        <w:rPr>
          <w:rFonts w:cs="Arial"/>
          <w:color w:val="000000"/>
        </w:rPr>
        <w:t xml:space="preserve">25 years have passed since their first energisation/connection date (i.e. Designated EHV Properties with connection agreements dated prior to 1st April 2005, and for which 25 years has passed since their first energisation/connection date will receive use of system charges for </w:t>
      </w:r>
      <w:r w:rsidRPr="008308F2">
        <w:rPr>
          <w:rFonts w:cs="Arial"/>
        </w:rPr>
        <w:t xml:space="preserve">generation from the next charging year following the expiry of their 25 years exemption, (starting 1st April), or </w:t>
      </w:r>
    </w:p>
    <w:p w14:paraId="6923D939" w14:textId="77777777" w:rsidR="008308F2" w:rsidRPr="008308F2" w:rsidRDefault="008308F2" w:rsidP="008308F2">
      <w:pPr>
        <w:pStyle w:val="ListParagraph"/>
        <w:numPr>
          <w:ilvl w:val="0"/>
          <w:numId w:val="11"/>
        </w:numPr>
        <w:autoSpaceDE w:val="0"/>
        <w:autoSpaceDN w:val="0"/>
        <w:adjustRightInd w:val="0"/>
        <w:spacing w:after="0" w:line="240" w:lineRule="auto"/>
        <w:rPr>
          <w:rFonts w:cs="Arial"/>
        </w:rPr>
      </w:pPr>
      <w:r w:rsidRPr="008308F2">
        <w:rPr>
          <w:rFonts w:cs="Arial"/>
        </w:rPr>
        <w:t xml:space="preserve">the person responsible for the Designated EHV Property has provided notice to us that they wish to opt in to UoS charges for generation. </w:t>
      </w:r>
    </w:p>
    <w:p w14:paraId="1F5153B3" w14:textId="77777777" w:rsidR="008308F2" w:rsidRPr="008308F2" w:rsidRDefault="008308F2" w:rsidP="008308F2">
      <w:pPr>
        <w:autoSpaceDE w:val="0"/>
        <w:autoSpaceDN w:val="0"/>
        <w:adjustRightInd w:val="0"/>
        <w:spacing w:after="0" w:line="240" w:lineRule="auto"/>
        <w:rPr>
          <w:rFonts w:cs="Arial"/>
        </w:rPr>
      </w:pPr>
    </w:p>
    <w:p w14:paraId="0E04B466" w14:textId="77777777" w:rsidR="008308F2" w:rsidRDefault="008308F2" w:rsidP="008308F2">
      <w:pPr>
        <w:autoSpaceDE w:val="0"/>
        <w:autoSpaceDN w:val="0"/>
        <w:adjustRightInd w:val="0"/>
        <w:spacing w:after="0" w:line="240" w:lineRule="auto"/>
        <w:rPr>
          <w:rFonts w:cs="Arial"/>
        </w:rPr>
      </w:pPr>
      <w:r w:rsidRPr="008308F2">
        <w:rPr>
          <w:rFonts w:cs="Arial"/>
        </w:rPr>
        <w:t xml:space="preserve">If a notice to opt in has been provided there will be no further opportunity to opt out. </w:t>
      </w:r>
    </w:p>
    <w:p w14:paraId="658973A3" w14:textId="77777777" w:rsidR="008308F2" w:rsidRPr="008308F2" w:rsidRDefault="008308F2" w:rsidP="008308F2">
      <w:pPr>
        <w:autoSpaceDE w:val="0"/>
        <w:autoSpaceDN w:val="0"/>
        <w:adjustRightInd w:val="0"/>
        <w:spacing w:after="0" w:line="240" w:lineRule="auto"/>
        <w:rPr>
          <w:rFonts w:cs="Arial"/>
        </w:rPr>
      </w:pPr>
    </w:p>
    <w:p w14:paraId="65261219" w14:textId="3041905F" w:rsidR="008308F2" w:rsidRPr="00EA2CED" w:rsidRDefault="006B119E" w:rsidP="008308F2">
      <w:pPr>
        <w:autoSpaceDE w:val="0"/>
        <w:autoSpaceDN w:val="0"/>
        <w:adjustRightInd w:val="0"/>
        <w:spacing w:after="0" w:line="240" w:lineRule="auto"/>
        <w:rPr>
          <w:rFonts w:cs="Arial"/>
        </w:rPr>
      </w:pPr>
      <w:r>
        <w:rPr>
          <w:rFonts w:cs="Arial"/>
        </w:rPr>
        <w:t>2.6</w:t>
      </w:r>
      <w:r w:rsidR="00632ACD">
        <w:rPr>
          <w:rFonts w:cs="Arial"/>
        </w:rPr>
        <w:t>2</w:t>
      </w:r>
      <w:r>
        <w:rPr>
          <w:rFonts w:cs="Arial"/>
        </w:rPr>
        <w:t xml:space="preserve">. </w:t>
      </w:r>
      <w:r w:rsidR="008308F2" w:rsidRPr="008308F2">
        <w:rPr>
          <w:rFonts w:cs="Arial"/>
        </w:rPr>
        <w:t>Furthermore, if an exempt customer makes</w:t>
      </w:r>
      <w:r w:rsidR="00377F62">
        <w:rPr>
          <w:rFonts w:cs="Arial"/>
        </w:rPr>
        <w:t xml:space="preserve"> an alteration to its </w:t>
      </w:r>
      <w:r w:rsidR="00EA2CED">
        <w:rPr>
          <w:rFonts w:cs="Arial"/>
        </w:rPr>
        <w:t>e</w:t>
      </w:r>
      <w:r w:rsidR="00377F62">
        <w:rPr>
          <w:rFonts w:cs="Arial"/>
        </w:rPr>
        <w:t>xport</w:t>
      </w:r>
      <w:r w:rsidR="00EA2CED">
        <w:rPr>
          <w:rFonts w:cs="Arial"/>
        </w:rPr>
        <w:t xml:space="preserve"> r</w:t>
      </w:r>
      <w:r w:rsidR="008308F2" w:rsidRPr="008308F2">
        <w:rPr>
          <w:rFonts w:cs="Arial"/>
        </w:rPr>
        <w:t xml:space="preserve">equirement then the customer may be </w:t>
      </w:r>
      <w:r w:rsidR="008308F2" w:rsidRPr="00EA2CED">
        <w:rPr>
          <w:rFonts w:cs="Arial"/>
        </w:rPr>
        <w:t xml:space="preserve">eligible to be charged for the additional capacity required or energy imported or exported. For example, where a generator increases its export capacity the incremental increase in export capacity will attract UoS charges as with other non-exempt generators. </w:t>
      </w:r>
    </w:p>
    <w:p w14:paraId="009139C7" w14:textId="77777777" w:rsidR="00EA2CED" w:rsidRPr="00EA2CED" w:rsidRDefault="00EA2CED" w:rsidP="008308F2">
      <w:pPr>
        <w:autoSpaceDE w:val="0"/>
        <w:autoSpaceDN w:val="0"/>
        <w:adjustRightInd w:val="0"/>
        <w:spacing w:after="0" w:line="240" w:lineRule="auto"/>
        <w:rPr>
          <w:rFonts w:cs="Arial"/>
        </w:rPr>
      </w:pPr>
    </w:p>
    <w:p w14:paraId="7A895CD2" w14:textId="437099CF" w:rsidR="00EA2CED" w:rsidRPr="00992381" w:rsidRDefault="002A26E4" w:rsidP="00992381">
      <w:pPr>
        <w:pStyle w:val="Subtitle"/>
        <w:rPr>
          <w:sz w:val="24"/>
          <w:u w:val="single"/>
        </w:rPr>
      </w:pPr>
      <w:r w:rsidRPr="00992381">
        <w:rPr>
          <w:sz w:val="24"/>
          <w:u w:val="single"/>
        </w:rPr>
        <w:t>Methodology to determine export t</w:t>
      </w:r>
      <w:r w:rsidR="00EA2CED" w:rsidRPr="00992381">
        <w:rPr>
          <w:sz w:val="24"/>
          <w:u w:val="single"/>
        </w:rPr>
        <w:t xml:space="preserve">ariffs </w:t>
      </w:r>
      <w:bookmarkStart w:id="3" w:name="_Toc298731248"/>
      <w:r w:rsidR="00EA2CED" w:rsidRPr="00992381">
        <w:rPr>
          <w:sz w:val="24"/>
          <w:u w:val="single"/>
        </w:rPr>
        <w:t>for domestic and small-scale generation</w:t>
      </w:r>
      <w:bookmarkEnd w:id="3"/>
    </w:p>
    <w:p w14:paraId="02BAE385" w14:textId="77777777" w:rsidR="00EA2CED" w:rsidRPr="00EA2CED" w:rsidRDefault="00EA2CED" w:rsidP="00EA2CED"/>
    <w:p w14:paraId="56B72946" w14:textId="3C7EE95E" w:rsidR="00EA2CED" w:rsidRPr="00EA2CED" w:rsidRDefault="00632ACD" w:rsidP="00EA2CED">
      <w:pPr>
        <w:pStyle w:val="Text"/>
        <w:tabs>
          <w:tab w:val="clear" w:pos="720"/>
        </w:tabs>
        <w:rPr>
          <w:rFonts w:asciiTheme="minorHAnsi" w:hAnsiTheme="minorHAnsi"/>
          <w:sz w:val="22"/>
          <w:szCs w:val="22"/>
        </w:rPr>
      </w:pPr>
      <w:r>
        <w:rPr>
          <w:rFonts w:asciiTheme="minorHAnsi" w:eastAsiaTheme="minorHAnsi" w:hAnsiTheme="minorHAnsi"/>
          <w:sz w:val="22"/>
          <w:szCs w:val="22"/>
        </w:rPr>
        <w:t>2.63</w:t>
      </w:r>
      <w:r w:rsidR="00EA2CED" w:rsidRPr="00EA2CED">
        <w:rPr>
          <w:rFonts w:asciiTheme="minorHAnsi" w:eastAsiaTheme="minorHAnsi" w:hAnsiTheme="minorHAnsi"/>
          <w:sz w:val="22"/>
          <w:szCs w:val="22"/>
        </w:rPr>
        <w:t xml:space="preserve"> </w:t>
      </w:r>
      <w:r w:rsidR="00EA2CED" w:rsidRPr="00EA2CED">
        <w:rPr>
          <w:rFonts w:asciiTheme="minorHAnsi" w:hAnsiTheme="minorHAnsi"/>
          <w:sz w:val="22"/>
          <w:szCs w:val="22"/>
        </w:rPr>
        <w:t xml:space="preserve">For small-scale non half hourly metered or aggregated half hourly metered generation, </w:t>
      </w:r>
      <w:r w:rsidR="00456A9C">
        <w:rPr>
          <w:rFonts w:asciiTheme="minorHAnsi" w:hAnsiTheme="minorHAnsi"/>
          <w:sz w:val="22"/>
          <w:szCs w:val="22"/>
        </w:rPr>
        <w:t>we apply the same tariff as the</w:t>
      </w:r>
      <w:r w:rsidR="00EA2CED" w:rsidRPr="00EA2CED">
        <w:rPr>
          <w:rFonts w:asciiTheme="minorHAnsi" w:hAnsiTheme="minorHAnsi"/>
          <w:sz w:val="22"/>
          <w:szCs w:val="22"/>
        </w:rPr>
        <w:t xml:space="preserve"> Distribution Services Provider in the Host DNO Area</w:t>
      </w:r>
      <w:r>
        <w:rPr>
          <w:rFonts w:asciiTheme="minorHAnsi" w:hAnsiTheme="minorHAnsi"/>
          <w:sz w:val="22"/>
          <w:szCs w:val="22"/>
        </w:rPr>
        <w:t xml:space="preserve">. </w:t>
      </w:r>
      <w:r w:rsidR="00EA2CED" w:rsidRPr="00EA2CED">
        <w:rPr>
          <w:rFonts w:asciiTheme="minorHAnsi" w:hAnsiTheme="minorHAnsi"/>
          <w:sz w:val="22"/>
          <w:szCs w:val="22"/>
        </w:rPr>
        <w:t>This usually includes use of system credits payable by us to the supplier.</w:t>
      </w:r>
    </w:p>
    <w:p w14:paraId="4BB758F8" w14:textId="6C363489" w:rsidR="00EA2CED" w:rsidRPr="00992381" w:rsidRDefault="00992381" w:rsidP="00992381">
      <w:pPr>
        <w:pStyle w:val="Subtitle"/>
        <w:rPr>
          <w:sz w:val="24"/>
          <w:u w:val="single"/>
        </w:rPr>
      </w:pPr>
      <w:bookmarkStart w:id="4" w:name="_Toc298731249"/>
      <w:r w:rsidRPr="00992381">
        <w:rPr>
          <w:sz w:val="24"/>
          <w:u w:val="single"/>
        </w:rPr>
        <w:t xml:space="preserve">Methodology to determine export tariffs </w:t>
      </w:r>
      <w:r w:rsidR="00EA2CED" w:rsidRPr="00992381">
        <w:rPr>
          <w:sz w:val="24"/>
          <w:u w:val="single"/>
        </w:rPr>
        <w:t>for generation</w:t>
      </w:r>
      <w:bookmarkEnd w:id="4"/>
      <w:r w:rsidR="00EA2CED" w:rsidRPr="00992381">
        <w:rPr>
          <w:sz w:val="24"/>
          <w:u w:val="single"/>
        </w:rPr>
        <w:t xml:space="preserve"> with a maximum export capacity</w:t>
      </w:r>
    </w:p>
    <w:p w14:paraId="53DCFA35" w14:textId="77777777" w:rsidR="00EA2CED" w:rsidRPr="00EA2CED" w:rsidRDefault="00EA2CED" w:rsidP="00EA2CED"/>
    <w:p w14:paraId="5F77B478" w14:textId="6BD722DC" w:rsidR="00EA2CED" w:rsidRP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t>2.</w:t>
      </w:r>
      <w:r w:rsidR="00632ACD">
        <w:rPr>
          <w:rFonts w:asciiTheme="minorHAnsi" w:hAnsiTheme="minorHAnsi"/>
          <w:sz w:val="22"/>
          <w:szCs w:val="22"/>
        </w:rPr>
        <w:t>64</w:t>
      </w:r>
      <w:r w:rsidRPr="00EA2CED">
        <w:rPr>
          <w:rFonts w:asciiTheme="minorHAnsi" w:hAnsiTheme="minorHAnsi"/>
          <w:sz w:val="22"/>
          <w:szCs w:val="22"/>
        </w:rPr>
        <w:t xml:space="preserve"> For half hourly metered generation that is billed on a site-specific basis, our tariff has a single component, which is a p/kVA/day export capacity charge.</w:t>
      </w:r>
    </w:p>
    <w:p w14:paraId="0E534B0B" w14:textId="273479DD" w:rsidR="00EA2CED" w:rsidRP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t>2.</w:t>
      </w:r>
      <w:r w:rsidR="00632ACD">
        <w:rPr>
          <w:rFonts w:asciiTheme="minorHAnsi" w:hAnsiTheme="minorHAnsi"/>
          <w:sz w:val="22"/>
          <w:szCs w:val="22"/>
        </w:rPr>
        <w:t>65</w:t>
      </w:r>
      <w:r w:rsidRPr="00EA2CED">
        <w:rPr>
          <w:rFonts w:asciiTheme="minorHAnsi" w:hAnsiTheme="minorHAnsi"/>
          <w:sz w:val="22"/>
          <w:szCs w:val="22"/>
        </w:rPr>
        <w:t xml:space="preserve"> Our methodology to calculate the export capacity charge is based on the costs of operating an illustrative generation-led network based on the kind of networks we are developing to connect generators.</w:t>
      </w:r>
    </w:p>
    <w:p w14:paraId="2C72AA9B" w14:textId="1A0E56F2" w:rsidR="00EA2CED" w:rsidRP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t>2.</w:t>
      </w:r>
      <w:r w:rsidR="00632ACD">
        <w:rPr>
          <w:rFonts w:asciiTheme="minorHAnsi" w:hAnsiTheme="minorHAnsi"/>
          <w:sz w:val="22"/>
          <w:szCs w:val="22"/>
        </w:rPr>
        <w:t>66</w:t>
      </w:r>
      <w:r w:rsidRPr="00EA2CED">
        <w:rPr>
          <w:rFonts w:asciiTheme="minorHAnsi" w:hAnsiTheme="minorHAnsi"/>
          <w:sz w:val="22"/>
          <w:szCs w:val="22"/>
        </w:rPr>
        <w:t xml:space="preserve"> We estimate the annual cost associated with the illustrative generation-led network by aggregating:</w:t>
      </w:r>
    </w:p>
    <w:p w14:paraId="4607CC55" w14:textId="77777777" w:rsidR="00EA2CED" w:rsidRPr="00EA2CED" w:rsidRDefault="00EA2CED" w:rsidP="00EA2CED">
      <w:pPr>
        <w:pStyle w:val="ListBullet"/>
        <w:rPr>
          <w:rFonts w:asciiTheme="minorHAnsi" w:hAnsiTheme="minorHAnsi"/>
          <w:sz w:val="22"/>
          <w:szCs w:val="22"/>
        </w:rPr>
      </w:pPr>
      <w:r w:rsidRPr="00EA2CED">
        <w:rPr>
          <w:rFonts w:asciiTheme="minorHAnsi" w:hAnsiTheme="minorHAnsi"/>
          <w:sz w:val="22"/>
          <w:szCs w:val="22"/>
        </w:rPr>
        <w:t>A) The cost of routine inspections, maintenance and transformer oil testing;</w:t>
      </w:r>
    </w:p>
    <w:p w14:paraId="3436B26B" w14:textId="77777777" w:rsidR="00EA2CED" w:rsidRPr="00EA2CED" w:rsidRDefault="00EA2CED" w:rsidP="00EA2CED">
      <w:pPr>
        <w:pStyle w:val="ListBullet"/>
        <w:rPr>
          <w:rFonts w:asciiTheme="minorHAnsi" w:hAnsiTheme="minorHAnsi"/>
          <w:sz w:val="22"/>
          <w:szCs w:val="22"/>
        </w:rPr>
      </w:pPr>
      <w:r w:rsidRPr="00EA2CED">
        <w:rPr>
          <w:rFonts w:asciiTheme="minorHAnsi" w:hAnsiTheme="minorHAnsi"/>
          <w:sz w:val="22"/>
          <w:szCs w:val="22"/>
        </w:rPr>
        <w:t>B) The expectation value of the cost of component repair and replacement, based on our experience of failure rates and typical repair/replacement costs.</w:t>
      </w:r>
    </w:p>
    <w:p w14:paraId="31678F09" w14:textId="78544C35" w:rsidR="00EA2CED" w:rsidRP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t>2.</w:t>
      </w:r>
      <w:r w:rsidR="00632ACD">
        <w:rPr>
          <w:rFonts w:asciiTheme="minorHAnsi" w:hAnsiTheme="minorHAnsi"/>
          <w:sz w:val="22"/>
          <w:szCs w:val="22"/>
        </w:rPr>
        <w:t>67</w:t>
      </w:r>
      <w:r w:rsidRPr="00EA2CED">
        <w:rPr>
          <w:rFonts w:asciiTheme="minorHAnsi" w:hAnsiTheme="minorHAnsi"/>
          <w:sz w:val="22"/>
          <w:szCs w:val="22"/>
        </w:rPr>
        <w:t xml:space="preserve"> The expected costs of scheduled or end-of-life equipment replacement are not included in this analysis.</w:t>
      </w:r>
    </w:p>
    <w:p w14:paraId="6CE70FC7" w14:textId="7D89AF49" w:rsidR="00EA2CED" w:rsidRP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t>2.</w:t>
      </w:r>
      <w:r w:rsidR="00632ACD">
        <w:rPr>
          <w:rFonts w:asciiTheme="minorHAnsi" w:hAnsiTheme="minorHAnsi"/>
          <w:sz w:val="22"/>
          <w:szCs w:val="22"/>
        </w:rPr>
        <w:t>68</w:t>
      </w:r>
      <w:r w:rsidRPr="00EA2CED">
        <w:rPr>
          <w:rFonts w:asciiTheme="minorHAnsi" w:hAnsiTheme="minorHAnsi"/>
          <w:sz w:val="22"/>
          <w:szCs w:val="22"/>
        </w:rPr>
        <w:t xml:space="preserve"> We then estimate the export capacity likely to be serviced by the illustrative generation-led network</w:t>
      </w:r>
      <w:r w:rsidR="00632ACD">
        <w:rPr>
          <w:rFonts w:asciiTheme="minorHAnsi" w:hAnsiTheme="minorHAnsi"/>
          <w:sz w:val="22"/>
          <w:szCs w:val="22"/>
        </w:rPr>
        <w:t xml:space="preserve">. </w:t>
      </w:r>
      <w:r w:rsidRPr="00EA2CED">
        <w:rPr>
          <w:rFonts w:asciiTheme="minorHAnsi" w:hAnsiTheme="minorHAnsi"/>
          <w:sz w:val="22"/>
          <w:szCs w:val="22"/>
        </w:rPr>
        <w:t>In doing so, we take account of the possibility of spare capacity arising from the commissioning of network capacity ahead of the completion of the construction of some generators served by the network, and/or the risk of early closure of some generators.</w:t>
      </w:r>
    </w:p>
    <w:p w14:paraId="77553861" w14:textId="589DF458" w:rsidR="00EA2CED" w:rsidRP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t>2.</w:t>
      </w:r>
      <w:r w:rsidR="00632ACD">
        <w:rPr>
          <w:rFonts w:asciiTheme="minorHAnsi" w:hAnsiTheme="minorHAnsi"/>
          <w:sz w:val="22"/>
          <w:szCs w:val="22"/>
        </w:rPr>
        <w:t>69</w:t>
      </w:r>
      <w:r w:rsidRPr="00EA2CED">
        <w:rPr>
          <w:rFonts w:asciiTheme="minorHAnsi" w:hAnsiTheme="minorHAnsi"/>
          <w:sz w:val="22"/>
          <w:szCs w:val="22"/>
        </w:rPr>
        <w:t xml:space="preserve"> Dividing the annual cost associated with the illustrative generation-led network by the export capacity likely to be serviced by the illustrative generation-led network gives us a £/kVA/year charging rate.</w:t>
      </w:r>
    </w:p>
    <w:p w14:paraId="1B60E171" w14:textId="4C7BF3CB" w:rsidR="00EA2CED" w:rsidRP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lastRenderedPageBreak/>
        <w:t>2.</w:t>
      </w:r>
      <w:r w:rsidR="00632ACD">
        <w:rPr>
          <w:rFonts w:asciiTheme="minorHAnsi" w:hAnsiTheme="minorHAnsi"/>
          <w:sz w:val="22"/>
          <w:szCs w:val="22"/>
        </w:rPr>
        <w:t>70</w:t>
      </w:r>
      <w:r w:rsidRPr="00EA2CED">
        <w:rPr>
          <w:rFonts w:asciiTheme="minorHAnsi" w:hAnsiTheme="minorHAnsi"/>
          <w:sz w:val="22"/>
          <w:szCs w:val="22"/>
        </w:rPr>
        <w:t xml:space="preserve"> Our export capacity charge is calculated by converting the £/kVA/year determined above t</w:t>
      </w:r>
      <w:r w:rsidR="008E6E92">
        <w:rPr>
          <w:rFonts w:asciiTheme="minorHAnsi" w:hAnsiTheme="minorHAnsi"/>
          <w:sz w:val="22"/>
          <w:szCs w:val="22"/>
        </w:rPr>
        <w:t xml:space="preserve">o p/kVA/day, by dividing it by </w:t>
      </w:r>
      <w:r w:rsidRPr="00EA2CED">
        <w:rPr>
          <w:rFonts w:asciiTheme="minorHAnsi" w:hAnsiTheme="minorHAnsi"/>
          <w:sz w:val="22"/>
          <w:szCs w:val="22"/>
        </w:rPr>
        <w:t>3</w:t>
      </w:r>
      <w:r w:rsidR="008E6E92">
        <w:rPr>
          <w:rFonts w:asciiTheme="minorHAnsi" w:hAnsiTheme="minorHAnsi"/>
          <w:sz w:val="22"/>
          <w:szCs w:val="22"/>
        </w:rPr>
        <w:t>.</w:t>
      </w:r>
      <w:r w:rsidRPr="00EA2CED">
        <w:rPr>
          <w:rFonts w:asciiTheme="minorHAnsi" w:hAnsiTheme="minorHAnsi"/>
          <w:sz w:val="22"/>
          <w:szCs w:val="22"/>
        </w:rPr>
        <w:t>6525 and rounding to two decimal places.</w:t>
      </w:r>
    </w:p>
    <w:p w14:paraId="199B54DA" w14:textId="45A3462A" w:rsidR="00EA2CED" w:rsidRPr="00EA2CED" w:rsidRDefault="002F3146" w:rsidP="003725E6">
      <w:pPr>
        <w:pStyle w:val="Text"/>
        <w:tabs>
          <w:tab w:val="clear" w:pos="720"/>
        </w:tabs>
        <w:rPr>
          <w:rFonts w:asciiTheme="minorHAnsi" w:hAnsiTheme="minorHAnsi"/>
          <w:sz w:val="22"/>
          <w:szCs w:val="22"/>
        </w:rPr>
      </w:pPr>
      <w:r>
        <w:rPr>
          <w:rFonts w:asciiTheme="minorHAnsi" w:hAnsiTheme="minorHAnsi"/>
          <w:sz w:val="22"/>
          <w:szCs w:val="22"/>
        </w:rPr>
        <w:t>2.</w:t>
      </w:r>
      <w:r w:rsidR="00632ACD">
        <w:rPr>
          <w:rFonts w:asciiTheme="minorHAnsi" w:hAnsiTheme="minorHAnsi"/>
          <w:sz w:val="22"/>
          <w:szCs w:val="22"/>
        </w:rPr>
        <w:t>71</w:t>
      </w:r>
      <w:r w:rsidR="00EA2CED" w:rsidRPr="00EA2CED">
        <w:rPr>
          <w:rFonts w:asciiTheme="minorHAnsi" w:hAnsiTheme="minorHAnsi"/>
          <w:sz w:val="22"/>
          <w:szCs w:val="22"/>
        </w:rPr>
        <w:t xml:space="preserve"> We do not pay any use of system credits to half hourly metered generation that is billed on a site-specific basis</w:t>
      </w:r>
      <w:r w:rsidR="00632ACD">
        <w:rPr>
          <w:rFonts w:asciiTheme="minorHAnsi" w:hAnsiTheme="minorHAnsi"/>
          <w:sz w:val="22"/>
          <w:szCs w:val="22"/>
        </w:rPr>
        <w:t xml:space="preserve">. </w:t>
      </w:r>
      <w:r w:rsidR="00EA2CED" w:rsidRPr="00EA2CED">
        <w:rPr>
          <w:rFonts w:asciiTheme="minorHAnsi" w:hAnsiTheme="minorHAnsi"/>
          <w:sz w:val="22"/>
          <w:szCs w:val="22"/>
        </w:rPr>
        <w:t>This reflects the fact that, on our networks, larger-scale generation is normally connected to a generation-dominated section of network whose primary purpose is to collect power from generators, and therefore the logic underpinning CDCM generation credits is not applicable.</w:t>
      </w:r>
    </w:p>
    <w:p w14:paraId="7712E2E5" w14:textId="00756CD8" w:rsidR="00EA2CED" w:rsidRDefault="00EA2CED" w:rsidP="00EA2CED">
      <w:pPr>
        <w:pStyle w:val="Text"/>
        <w:tabs>
          <w:tab w:val="clear" w:pos="720"/>
        </w:tabs>
        <w:rPr>
          <w:rFonts w:asciiTheme="minorHAnsi" w:hAnsiTheme="minorHAnsi"/>
          <w:sz w:val="22"/>
          <w:szCs w:val="22"/>
        </w:rPr>
      </w:pPr>
      <w:r w:rsidRPr="00EA2CED">
        <w:rPr>
          <w:rFonts w:asciiTheme="minorHAnsi" w:hAnsiTheme="minorHAnsi"/>
          <w:sz w:val="22"/>
          <w:szCs w:val="22"/>
        </w:rPr>
        <w:t>2.</w:t>
      </w:r>
      <w:r w:rsidR="00632ACD">
        <w:rPr>
          <w:rFonts w:asciiTheme="minorHAnsi" w:hAnsiTheme="minorHAnsi"/>
          <w:sz w:val="22"/>
          <w:szCs w:val="22"/>
        </w:rPr>
        <w:t>72</w:t>
      </w:r>
      <w:r w:rsidRPr="00EA2CED">
        <w:rPr>
          <w:rFonts w:asciiTheme="minorHAnsi" w:hAnsiTheme="minorHAnsi"/>
          <w:sz w:val="22"/>
          <w:szCs w:val="22"/>
        </w:rPr>
        <w:t xml:space="preserve"> We do not charge any fixed charge to half hourly metered generation that is billed on a site-specific basis</w:t>
      </w:r>
      <w:r w:rsidR="00632ACD">
        <w:rPr>
          <w:rFonts w:asciiTheme="minorHAnsi" w:hAnsiTheme="minorHAnsi"/>
          <w:sz w:val="22"/>
          <w:szCs w:val="22"/>
        </w:rPr>
        <w:t xml:space="preserve">. </w:t>
      </w:r>
      <w:r w:rsidRPr="00EA2CED">
        <w:rPr>
          <w:rFonts w:asciiTheme="minorHAnsi" w:hAnsiTheme="minorHAnsi"/>
          <w:sz w:val="22"/>
          <w:szCs w:val="22"/>
        </w:rPr>
        <w:t>The relevant operation and maintenance costs are covered by our capacity charge</w:t>
      </w:r>
      <w:r w:rsidR="00632ACD">
        <w:rPr>
          <w:rFonts w:asciiTheme="minorHAnsi" w:hAnsiTheme="minorHAnsi"/>
          <w:sz w:val="22"/>
          <w:szCs w:val="22"/>
        </w:rPr>
        <w:t xml:space="preserve">. </w:t>
      </w:r>
      <w:r w:rsidRPr="00EA2CED">
        <w:rPr>
          <w:rFonts w:asciiTheme="minorHAnsi" w:hAnsiTheme="minorHAnsi"/>
          <w:sz w:val="22"/>
          <w:szCs w:val="22"/>
        </w:rPr>
        <w:t>In the context of a network which is assumed to be generation-led, we consider that it is fairer and more cost-reflective to charge for these costs on the basis of export capacity than on the basis of individual MPANs or metering points.</w:t>
      </w:r>
    </w:p>
    <w:p w14:paraId="5755530B" w14:textId="51D0E175" w:rsidR="003725E6" w:rsidRPr="00EA2CED" w:rsidRDefault="00456A9C" w:rsidP="00EA2CED">
      <w:pPr>
        <w:pStyle w:val="Text"/>
        <w:tabs>
          <w:tab w:val="clear" w:pos="720"/>
        </w:tabs>
        <w:rPr>
          <w:rFonts w:asciiTheme="minorHAnsi" w:hAnsiTheme="minorHAnsi"/>
          <w:sz w:val="22"/>
          <w:szCs w:val="22"/>
        </w:rPr>
      </w:pPr>
      <w:r>
        <w:rPr>
          <w:rFonts w:asciiTheme="minorHAnsi" w:hAnsiTheme="minorHAnsi"/>
          <w:sz w:val="22"/>
          <w:szCs w:val="22"/>
        </w:rPr>
        <w:t>2.</w:t>
      </w:r>
      <w:r w:rsidR="00632ACD">
        <w:rPr>
          <w:rFonts w:asciiTheme="minorHAnsi" w:hAnsiTheme="minorHAnsi"/>
          <w:sz w:val="22"/>
          <w:szCs w:val="22"/>
        </w:rPr>
        <w:t>73</w:t>
      </w:r>
      <w:r>
        <w:rPr>
          <w:rFonts w:asciiTheme="minorHAnsi" w:hAnsiTheme="minorHAnsi"/>
          <w:sz w:val="22"/>
          <w:szCs w:val="22"/>
        </w:rPr>
        <w:t xml:space="preserve"> </w:t>
      </w:r>
      <w:r w:rsidR="003725E6">
        <w:rPr>
          <w:rFonts w:asciiTheme="minorHAnsi" w:hAnsiTheme="minorHAnsi"/>
          <w:sz w:val="22"/>
          <w:szCs w:val="22"/>
        </w:rPr>
        <w:t>We charge for excess reactive power a</w:t>
      </w:r>
      <w:r>
        <w:rPr>
          <w:rFonts w:asciiTheme="minorHAnsi" w:hAnsiTheme="minorHAnsi"/>
          <w:sz w:val="22"/>
          <w:szCs w:val="22"/>
        </w:rPr>
        <w:t xml:space="preserve">t the same rate as the </w:t>
      </w:r>
      <w:r w:rsidRPr="00EA2CED">
        <w:rPr>
          <w:rFonts w:asciiTheme="minorHAnsi" w:hAnsiTheme="minorHAnsi"/>
          <w:sz w:val="22"/>
          <w:szCs w:val="22"/>
        </w:rPr>
        <w:t>Distribution Services Provider in the Host DNO Area</w:t>
      </w:r>
      <w:r>
        <w:rPr>
          <w:rFonts w:asciiTheme="minorHAnsi" w:hAnsiTheme="minorHAnsi"/>
          <w:sz w:val="22"/>
          <w:szCs w:val="22"/>
        </w:rPr>
        <w:t xml:space="preserve"> for each type of generator.</w:t>
      </w:r>
    </w:p>
    <w:p w14:paraId="2A9751C5" w14:textId="77777777" w:rsidR="002F3146" w:rsidRDefault="002F3146" w:rsidP="002F3146">
      <w:pPr>
        <w:pStyle w:val="Subtitle"/>
        <w:rPr>
          <w:sz w:val="24"/>
          <w:u w:val="single"/>
        </w:rPr>
      </w:pPr>
    </w:p>
    <w:p w14:paraId="0A28BFAC" w14:textId="32831A65" w:rsidR="002F3146" w:rsidRDefault="002A26E4" w:rsidP="002F3146">
      <w:pPr>
        <w:pStyle w:val="Subtitle"/>
        <w:rPr>
          <w:sz w:val="24"/>
          <w:u w:val="single"/>
        </w:rPr>
      </w:pPr>
      <w:r w:rsidRPr="00992381">
        <w:rPr>
          <w:sz w:val="24"/>
          <w:u w:val="single"/>
        </w:rPr>
        <w:t xml:space="preserve">Methodology to determine </w:t>
      </w:r>
      <w:r w:rsidR="00992381" w:rsidRPr="00992381">
        <w:rPr>
          <w:sz w:val="24"/>
          <w:u w:val="single"/>
        </w:rPr>
        <w:t>generic</w:t>
      </w:r>
      <w:r w:rsidRPr="00992381">
        <w:rPr>
          <w:sz w:val="24"/>
          <w:u w:val="single"/>
        </w:rPr>
        <w:t xml:space="preserve"> import tariffs</w:t>
      </w:r>
    </w:p>
    <w:p w14:paraId="3D9B811E" w14:textId="486E946B" w:rsidR="002F3146" w:rsidRPr="002F3146" w:rsidRDefault="002F3146" w:rsidP="002F3146">
      <w:pPr>
        <w:pStyle w:val="Text"/>
        <w:tabs>
          <w:tab w:val="clear" w:pos="720"/>
        </w:tabs>
        <w:rPr>
          <w:rFonts w:asciiTheme="minorHAnsi" w:hAnsiTheme="minorHAnsi"/>
          <w:sz w:val="22"/>
          <w:szCs w:val="22"/>
        </w:rPr>
      </w:pPr>
      <w:r>
        <w:rPr>
          <w:rFonts w:asciiTheme="minorHAnsi" w:hAnsiTheme="minorHAnsi"/>
          <w:sz w:val="22"/>
          <w:szCs w:val="22"/>
        </w:rPr>
        <w:t>2.</w:t>
      </w:r>
      <w:r w:rsidR="00632ACD">
        <w:rPr>
          <w:rFonts w:asciiTheme="minorHAnsi" w:hAnsiTheme="minorHAnsi"/>
          <w:sz w:val="22"/>
          <w:szCs w:val="22"/>
        </w:rPr>
        <w:t>74</w:t>
      </w:r>
      <w:r w:rsidRPr="002F3146">
        <w:rPr>
          <w:rFonts w:asciiTheme="minorHAnsi" w:hAnsiTheme="minorHAnsi"/>
          <w:sz w:val="22"/>
          <w:szCs w:val="22"/>
        </w:rPr>
        <w:t xml:space="preserve"> For demand customers supplied through our network at voltages below 22</w:t>
      </w:r>
      <w:r w:rsidR="00456A9C">
        <w:rPr>
          <w:rFonts w:asciiTheme="minorHAnsi" w:hAnsiTheme="minorHAnsi"/>
          <w:sz w:val="22"/>
          <w:szCs w:val="22"/>
        </w:rPr>
        <w:t>kV</w:t>
      </w:r>
      <w:r w:rsidRPr="002F3146">
        <w:rPr>
          <w:rFonts w:asciiTheme="minorHAnsi" w:hAnsiTheme="minorHAnsi"/>
          <w:sz w:val="22"/>
          <w:szCs w:val="22"/>
        </w:rPr>
        <w:t xml:space="preserve"> and which fall within the scope of a generic tariff published by the Distribution Services Provider in the Host DNO Area, our applicable use of system tariff is the same as the published tariff that would apply to an equivalent customer supplied by the Distribution Services Provider in the Host DNO Area.</w:t>
      </w:r>
    </w:p>
    <w:p w14:paraId="11B5372A" w14:textId="2CD25F95" w:rsidR="002F3146" w:rsidRDefault="002F3146" w:rsidP="002F3146">
      <w:pPr>
        <w:pStyle w:val="Text"/>
        <w:tabs>
          <w:tab w:val="clear" w:pos="720"/>
        </w:tabs>
        <w:rPr>
          <w:rFonts w:asciiTheme="minorHAnsi" w:hAnsiTheme="minorHAnsi"/>
          <w:sz w:val="22"/>
          <w:szCs w:val="22"/>
        </w:rPr>
      </w:pPr>
      <w:r>
        <w:rPr>
          <w:rFonts w:asciiTheme="minorHAnsi" w:hAnsiTheme="minorHAnsi"/>
          <w:sz w:val="22"/>
          <w:szCs w:val="22"/>
        </w:rPr>
        <w:t>2.</w:t>
      </w:r>
      <w:r w:rsidR="00632ACD">
        <w:rPr>
          <w:rFonts w:asciiTheme="minorHAnsi" w:hAnsiTheme="minorHAnsi"/>
          <w:sz w:val="22"/>
          <w:szCs w:val="22"/>
        </w:rPr>
        <w:t>75</w:t>
      </w:r>
      <w:r w:rsidRPr="002F3146">
        <w:rPr>
          <w:rFonts w:asciiTheme="minorHAnsi" w:hAnsiTheme="minorHAnsi"/>
          <w:sz w:val="22"/>
          <w:szCs w:val="22"/>
        </w:rPr>
        <w:t xml:space="preserve"> At the time of preparing this statement, the method used by Distribution Services Providers to determine the relevant use of system tariffs is called the CDCM, and it applies to all customers supplied at voltages below 22</w:t>
      </w:r>
      <w:r w:rsidR="00456A9C">
        <w:rPr>
          <w:rFonts w:asciiTheme="minorHAnsi" w:hAnsiTheme="minorHAnsi"/>
          <w:sz w:val="22"/>
          <w:szCs w:val="22"/>
        </w:rPr>
        <w:t>kV</w:t>
      </w:r>
      <w:r w:rsidRPr="002F3146">
        <w:rPr>
          <w:rFonts w:asciiTheme="minorHAnsi" w:hAnsiTheme="minorHAnsi"/>
          <w:sz w:val="22"/>
          <w:szCs w:val="22"/>
        </w:rPr>
        <w:t xml:space="preserve"> except supplied at 1</w:t>
      </w:r>
      <w:r w:rsidR="00456A9C">
        <w:rPr>
          <w:rFonts w:asciiTheme="minorHAnsi" w:hAnsiTheme="minorHAnsi"/>
          <w:sz w:val="22"/>
          <w:szCs w:val="22"/>
        </w:rPr>
        <w:t>kV</w:t>
      </w:r>
      <w:r w:rsidRPr="002F3146">
        <w:rPr>
          <w:rFonts w:asciiTheme="minorHAnsi" w:hAnsiTheme="minorHAnsi"/>
          <w:sz w:val="22"/>
          <w:szCs w:val="22"/>
        </w:rPr>
        <w:t xml:space="preserve"> or more and metered at a transformation substation with a primary voltage of 22</w:t>
      </w:r>
      <w:r w:rsidR="00456A9C">
        <w:rPr>
          <w:rFonts w:asciiTheme="minorHAnsi" w:hAnsiTheme="minorHAnsi"/>
          <w:sz w:val="22"/>
          <w:szCs w:val="22"/>
        </w:rPr>
        <w:t>kV</w:t>
      </w:r>
      <w:r w:rsidRPr="002F3146">
        <w:rPr>
          <w:rFonts w:asciiTheme="minorHAnsi" w:hAnsiTheme="minorHAnsi"/>
          <w:sz w:val="22"/>
          <w:szCs w:val="22"/>
        </w:rPr>
        <w:t xml:space="preserve"> or more.</w:t>
      </w:r>
    </w:p>
    <w:p w14:paraId="4A8AD99F" w14:textId="77777777" w:rsidR="00550ADD" w:rsidRDefault="00550ADD" w:rsidP="00992381">
      <w:pPr>
        <w:pStyle w:val="Subtitle"/>
        <w:rPr>
          <w:sz w:val="24"/>
          <w:u w:val="single"/>
        </w:rPr>
      </w:pPr>
    </w:p>
    <w:p w14:paraId="22DCA8AB" w14:textId="30D1570F" w:rsidR="003725E6" w:rsidRPr="00992381" w:rsidRDefault="00992381" w:rsidP="00992381">
      <w:pPr>
        <w:pStyle w:val="Subtitle"/>
        <w:rPr>
          <w:sz w:val="24"/>
          <w:u w:val="single"/>
        </w:rPr>
      </w:pPr>
      <w:r w:rsidRPr="00992381">
        <w:rPr>
          <w:sz w:val="24"/>
          <w:u w:val="single"/>
        </w:rPr>
        <w:t xml:space="preserve">Methodology to determine </w:t>
      </w:r>
      <w:r>
        <w:rPr>
          <w:sz w:val="24"/>
          <w:u w:val="single"/>
        </w:rPr>
        <w:t>s</w:t>
      </w:r>
      <w:r w:rsidR="003725E6" w:rsidRPr="00992381">
        <w:rPr>
          <w:sz w:val="24"/>
          <w:u w:val="single"/>
        </w:rPr>
        <w:t xml:space="preserve">ite-specific </w:t>
      </w:r>
      <w:r>
        <w:rPr>
          <w:sz w:val="24"/>
          <w:u w:val="single"/>
        </w:rPr>
        <w:t xml:space="preserve">import </w:t>
      </w:r>
      <w:r w:rsidR="003725E6" w:rsidRPr="00992381">
        <w:rPr>
          <w:sz w:val="24"/>
          <w:u w:val="single"/>
        </w:rPr>
        <w:t>tariffs</w:t>
      </w:r>
    </w:p>
    <w:p w14:paraId="2CF2CED1" w14:textId="10FFB6E4" w:rsidR="003725E6" w:rsidRPr="00377F62" w:rsidRDefault="003725E6" w:rsidP="003725E6">
      <w:r>
        <w:t>2.</w:t>
      </w:r>
      <w:r w:rsidR="00632ACD">
        <w:t>76</w:t>
      </w:r>
      <w:r>
        <w:t xml:space="preserve"> For non-domestic customers supplied through our network at 22</w:t>
      </w:r>
      <w:r w:rsidR="00456A9C">
        <w:t>kV</w:t>
      </w:r>
      <w:r>
        <w:t xml:space="preserve"> or more, or where the supply is at 1</w:t>
      </w:r>
      <w:r w:rsidR="00456A9C">
        <w:t>kV</w:t>
      </w:r>
      <w:r>
        <w:t xml:space="preserve"> or more at a substation with a primary voltage of 22</w:t>
      </w:r>
      <w:r w:rsidR="00456A9C">
        <w:t>kV</w:t>
      </w:r>
      <w:r>
        <w:t xml:space="preserve"> or more, with the metering point (or asset boundary in the case of a customer which is a LDNO network) at the same substation, then our applicable use of system </w:t>
      </w:r>
      <w:r w:rsidRPr="00377F62">
        <w:t xml:space="preserve">tariff will be determined on a site-specific basis. </w:t>
      </w:r>
    </w:p>
    <w:p w14:paraId="79F4E729" w14:textId="5D847F01" w:rsidR="003725E6" w:rsidRPr="00377F62" w:rsidRDefault="003725E6" w:rsidP="003725E6">
      <w:r w:rsidRPr="00377F62">
        <w:t>2.</w:t>
      </w:r>
      <w:r w:rsidR="00632ACD">
        <w:t>77</w:t>
      </w:r>
      <w:r w:rsidRPr="00377F62">
        <w:t xml:space="preserve"> To determine this site-specific tariff, we will compute the following:</w:t>
      </w:r>
    </w:p>
    <w:p w14:paraId="43551BC9" w14:textId="77777777" w:rsidR="003725E6" w:rsidRPr="00377F62" w:rsidRDefault="003725E6" w:rsidP="003725E6">
      <w:pPr>
        <w:pStyle w:val="ListBullet"/>
        <w:rPr>
          <w:rFonts w:asciiTheme="minorHAnsi" w:hAnsiTheme="minorHAnsi"/>
          <w:sz w:val="22"/>
          <w:szCs w:val="22"/>
        </w:rPr>
      </w:pPr>
      <w:r w:rsidRPr="00377F62">
        <w:rPr>
          <w:rFonts w:asciiTheme="minorHAnsi" w:hAnsiTheme="minorHAnsi"/>
          <w:sz w:val="22"/>
          <w:szCs w:val="22"/>
        </w:rPr>
        <w:t>A) The tariff that would have applied to the site if the Host DNO owned the relevant section of our system and used it to supply the site.</w:t>
      </w:r>
    </w:p>
    <w:p w14:paraId="3317CCA8" w14:textId="77777777" w:rsidR="003725E6" w:rsidRPr="00377F62" w:rsidRDefault="003725E6" w:rsidP="003725E6">
      <w:pPr>
        <w:pStyle w:val="ListBullet"/>
        <w:rPr>
          <w:rFonts w:asciiTheme="minorHAnsi" w:hAnsiTheme="minorHAnsi"/>
          <w:sz w:val="22"/>
          <w:szCs w:val="22"/>
        </w:rPr>
      </w:pPr>
      <w:r w:rsidRPr="00377F62">
        <w:rPr>
          <w:rFonts w:asciiTheme="minorHAnsi" w:hAnsiTheme="minorHAnsi"/>
          <w:sz w:val="22"/>
          <w:szCs w:val="22"/>
        </w:rPr>
        <w:t>B) The charges (if any) applied to us by other networks (distribution or transmission) in respect of the supply to the site.</w:t>
      </w:r>
    </w:p>
    <w:p w14:paraId="33130C51" w14:textId="4BDEB045" w:rsidR="003725E6" w:rsidRPr="00377F62" w:rsidRDefault="003725E6" w:rsidP="003725E6">
      <w:pPr>
        <w:pStyle w:val="ListBullet"/>
        <w:ind w:left="0" w:firstLine="0"/>
        <w:rPr>
          <w:rFonts w:asciiTheme="minorHAnsi" w:hAnsiTheme="minorHAnsi"/>
          <w:sz w:val="22"/>
          <w:szCs w:val="22"/>
        </w:rPr>
      </w:pPr>
      <w:r w:rsidRPr="00377F62">
        <w:rPr>
          <w:rFonts w:asciiTheme="minorHAnsi" w:hAnsiTheme="minorHAnsi"/>
          <w:sz w:val="22"/>
          <w:szCs w:val="22"/>
        </w:rPr>
        <w:t>2.</w:t>
      </w:r>
      <w:r w:rsidR="00632ACD">
        <w:rPr>
          <w:rFonts w:asciiTheme="minorHAnsi" w:hAnsiTheme="minorHAnsi"/>
          <w:sz w:val="22"/>
          <w:szCs w:val="22"/>
        </w:rPr>
        <w:t>78</w:t>
      </w:r>
      <w:r w:rsidRPr="00377F62">
        <w:rPr>
          <w:rFonts w:asciiTheme="minorHAnsi" w:hAnsiTheme="minorHAnsi"/>
          <w:sz w:val="22"/>
          <w:szCs w:val="22"/>
        </w:rPr>
        <w:t xml:space="preserve"> Where appropriate, we will set our site-specific tariff to be the notional tariff that would have applied to the site if the Host DNO owned the relevant section of our system</w:t>
      </w:r>
      <w:r w:rsidR="00632ACD">
        <w:rPr>
          <w:rFonts w:asciiTheme="minorHAnsi" w:hAnsiTheme="minorHAnsi"/>
          <w:sz w:val="22"/>
          <w:szCs w:val="22"/>
        </w:rPr>
        <w:t xml:space="preserve">. </w:t>
      </w:r>
      <w:r w:rsidRPr="00377F62">
        <w:rPr>
          <w:rFonts w:asciiTheme="minorHAnsi" w:hAnsiTheme="minorHAnsi"/>
          <w:sz w:val="22"/>
          <w:szCs w:val="22"/>
        </w:rPr>
        <w:t>This would be consistent with our methodology for setting generic demand tariffs.</w:t>
      </w:r>
    </w:p>
    <w:p w14:paraId="7CCC5D9B" w14:textId="2334225D" w:rsidR="003725E6" w:rsidRPr="00377F62" w:rsidRDefault="003725E6" w:rsidP="003725E6">
      <w:pPr>
        <w:pStyle w:val="Text"/>
        <w:tabs>
          <w:tab w:val="clear" w:pos="720"/>
        </w:tabs>
        <w:rPr>
          <w:rFonts w:asciiTheme="minorHAnsi" w:hAnsiTheme="minorHAnsi"/>
          <w:sz w:val="22"/>
          <w:szCs w:val="22"/>
        </w:rPr>
      </w:pPr>
      <w:r w:rsidRPr="00377F62">
        <w:rPr>
          <w:rFonts w:asciiTheme="minorHAnsi" w:hAnsiTheme="minorHAnsi"/>
          <w:sz w:val="22"/>
          <w:szCs w:val="22"/>
        </w:rPr>
        <w:t>2.</w:t>
      </w:r>
      <w:r w:rsidR="00632ACD">
        <w:rPr>
          <w:rFonts w:asciiTheme="minorHAnsi" w:hAnsiTheme="minorHAnsi"/>
          <w:sz w:val="22"/>
          <w:szCs w:val="22"/>
        </w:rPr>
        <w:t>79</w:t>
      </w:r>
      <w:r w:rsidRPr="00377F62">
        <w:rPr>
          <w:rFonts w:asciiTheme="minorHAnsi" w:hAnsiTheme="minorHAnsi"/>
          <w:sz w:val="22"/>
          <w:szCs w:val="22"/>
        </w:rPr>
        <w:t xml:space="preserve"> However, this notional tariff approach might not be always appropriate, because:</w:t>
      </w:r>
    </w:p>
    <w:p w14:paraId="47300FE0" w14:textId="77777777" w:rsidR="003725E6" w:rsidRPr="00377F62" w:rsidRDefault="003725E6" w:rsidP="003725E6">
      <w:pPr>
        <w:pStyle w:val="ListBullet"/>
        <w:rPr>
          <w:rFonts w:asciiTheme="minorHAnsi" w:hAnsiTheme="minorHAnsi"/>
          <w:sz w:val="22"/>
          <w:szCs w:val="22"/>
        </w:rPr>
      </w:pPr>
      <w:r w:rsidRPr="00377F62">
        <w:rPr>
          <w:rFonts w:asciiTheme="minorHAnsi" w:hAnsiTheme="minorHAnsi"/>
          <w:sz w:val="22"/>
          <w:szCs w:val="22"/>
        </w:rPr>
        <w:lastRenderedPageBreak/>
        <w:t>A) We might not always be able to estimate the tariff that would have applied to the site if the Host DNO owned the relevant section of our system, because making such estimates is dependent on the provision of information by the Host DNO, which is out of our control.</w:t>
      </w:r>
    </w:p>
    <w:p w14:paraId="19DDD4ED" w14:textId="77777777" w:rsidR="003725E6" w:rsidRPr="00377F62" w:rsidRDefault="003725E6" w:rsidP="003725E6">
      <w:pPr>
        <w:pStyle w:val="ListBullet"/>
        <w:rPr>
          <w:rFonts w:asciiTheme="minorHAnsi" w:hAnsiTheme="minorHAnsi"/>
          <w:sz w:val="22"/>
          <w:szCs w:val="22"/>
        </w:rPr>
      </w:pPr>
      <w:r w:rsidRPr="00377F62">
        <w:rPr>
          <w:rFonts w:asciiTheme="minorHAnsi" w:hAnsiTheme="minorHAnsi"/>
          <w:sz w:val="22"/>
          <w:szCs w:val="22"/>
        </w:rPr>
        <w:t>B) The design and implementation of the Host DNO’s charging methodology is also out of our control, there is a risk that the notional tariff might not cover the charges applied to us by any other networks, or might give an inadequate margin over these charges.</w:t>
      </w:r>
    </w:p>
    <w:p w14:paraId="6E3E45B0" w14:textId="6BDE4CE2" w:rsidR="003725E6" w:rsidRPr="00377F62" w:rsidRDefault="003725E6" w:rsidP="003725E6">
      <w:pPr>
        <w:pStyle w:val="Text"/>
        <w:tabs>
          <w:tab w:val="clear" w:pos="720"/>
        </w:tabs>
        <w:rPr>
          <w:rFonts w:asciiTheme="minorHAnsi" w:hAnsiTheme="minorHAnsi"/>
          <w:sz w:val="22"/>
          <w:szCs w:val="22"/>
        </w:rPr>
      </w:pPr>
      <w:r w:rsidRPr="00377F62">
        <w:rPr>
          <w:rFonts w:asciiTheme="minorHAnsi" w:hAnsiTheme="minorHAnsi"/>
          <w:sz w:val="22"/>
          <w:szCs w:val="22"/>
        </w:rPr>
        <w:t>2.</w:t>
      </w:r>
      <w:r w:rsidR="00632ACD">
        <w:rPr>
          <w:rFonts w:asciiTheme="minorHAnsi" w:hAnsiTheme="minorHAnsi"/>
          <w:sz w:val="22"/>
          <w:szCs w:val="22"/>
        </w:rPr>
        <w:t>80</w:t>
      </w:r>
      <w:r w:rsidRPr="00377F62">
        <w:rPr>
          <w:rFonts w:asciiTheme="minorHAnsi" w:hAnsiTheme="minorHAnsi"/>
          <w:sz w:val="22"/>
          <w:szCs w:val="22"/>
        </w:rPr>
        <w:t xml:space="preserve"> If we determine that the notional tariff approach is not appropriate for a site, then we will set the tariff for the site as the sum of:</w:t>
      </w:r>
    </w:p>
    <w:p w14:paraId="6604569D" w14:textId="77777777" w:rsidR="003725E6" w:rsidRPr="00377F62" w:rsidRDefault="003725E6" w:rsidP="003725E6">
      <w:pPr>
        <w:pStyle w:val="ListBullet"/>
        <w:rPr>
          <w:rFonts w:asciiTheme="minorHAnsi" w:hAnsiTheme="minorHAnsi"/>
          <w:sz w:val="22"/>
          <w:szCs w:val="22"/>
        </w:rPr>
      </w:pPr>
      <w:r w:rsidRPr="00377F62">
        <w:rPr>
          <w:rFonts w:asciiTheme="minorHAnsi" w:hAnsiTheme="minorHAnsi"/>
          <w:sz w:val="22"/>
          <w:szCs w:val="22"/>
        </w:rPr>
        <w:t>A) The pass-through of the charges applied to us by any other networks.</w:t>
      </w:r>
    </w:p>
    <w:p w14:paraId="4F7BB19B" w14:textId="4A8D8147" w:rsidR="003725E6" w:rsidRDefault="003725E6" w:rsidP="003725E6">
      <w:pPr>
        <w:pStyle w:val="ListBullet"/>
        <w:rPr>
          <w:rFonts w:asciiTheme="minorHAnsi" w:hAnsiTheme="minorHAnsi"/>
          <w:sz w:val="22"/>
          <w:szCs w:val="22"/>
        </w:rPr>
      </w:pPr>
      <w:r w:rsidRPr="00377F62">
        <w:rPr>
          <w:rFonts w:asciiTheme="minorHAnsi" w:hAnsiTheme="minorHAnsi"/>
          <w:sz w:val="22"/>
          <w:szCs w:val="22"/>
        </w:rPr>
        <w:t xml:space="preserve">b) The </w:t>
      </w:r>
      <w:r w:rsidRPr="00377F62">
        <w:rPr>
          <w:rFonts w:asciiTheme="minorHAnsi" w:hAnsiTheme="minorHAnsi"/>
          <w:sz w:val="22"/>
          <w:szCs w:val="22"/>
          <w:lang w:val="en-US"/>
        </w:rPr>
        <w:t>costs associated with the fulfillment of our obligation to provide a safe and secure distribution system to supply the site</w:t>
      </w:r>
      <w:r w:rsidR="00632ACD">
        <w:rPr>
          <w:rFonts w:asciiTheme="minorHAnsi" w:hAnsiTheme="minorHAnsi"/>
          <w:sz w:val="22"/>
          <w:szCs w:val="22"/>
          <w:lang w:val="en-US"/>
        </w:rPr>
        <w:t xml:space="preserve">. </w:t>
      </w:r>
      <w:r w:rsidRPr="00377F62">
        <w:rPr>
          <w:rFonts w:asciiTheme="minorHAnsi" w:hAnsiTheme="minorHAnsi"/>
          <w:sz w:val="22"/>
          <w:szCs w:val="22"/>
          <w:lang w:val="en-US"/>
        </w:rPr>
        <w:t>Where assets are used in the supply, we will set cost to reflect depreciation plus a return of 7.6 per cent a year on the modern equivalent value of these assets</w:t>
      </w:r>
      <w:r w:rsidR="00632ACD">
        <w:rPr>
          <w:rFonts w:asciiTheme="minorHAnsi" w:hAnsiTheme="minorHAnsi"/>
          <w:sz w:val="22"/>
          <w:szCs w:val="22"/>
          <w:lang w:val="en-US"/>
        </w:rPr>
        <w:t xml:space="preserve">. </w:t>
      </w:r>
      <w:r w:rsidRPr="00377F62">
        <w:rPr>
          <w:rFonts w:asciiTheme="minorHAnsi" w:hAnsiTheme="minorHAnsi"/>
          <w:sz w:val="22"/>
          <w:szCs w:val="22"/>
          <w:lang w:val="en-US"/>
        </w:rPr>
        <w:t>Where costs or assets are used for supplies to more than one site, we will apportion the costs to determine the share to be borne by the use of system tariff for the site</w:t>
      </w:r>
      <w:r w:rsidR="00632ACD">
        <w:rPr>
          <w:rFonts w:asciiTheme="minorHAnsi" w:hAnsiTheme="minorHAnsi"/>
          <w:sz w:val="22"/>
          <w:szCs w:val="22"/>
          <w:lang w:val="en-US"/>
        </w:rPr>
        <w:t xml:space="preserve">. </w:t>
      </w:r>
      <w:r w:rsidR="00632ACD" w:rsidRPr="00377F62">
        <w:rPr>
          <w:rFonts w:asciiTheme="minorHAnsi" w:hAnsiTheme="minorHAnsi"/>
          <w:sz w:val="22"/>
          <w:szCs w:val="22"/>
        </w:rPr>
        <w:t>We will review the 7.6 per cent rate of return as part of our annual review of this methodology</w:t>
      </w:r>
      <w:r w:rsidR="00632ACD">
        <w:rPr>
          <w:rFonts w:asciiTheme="minorHAnsi" w:hAnsiTheme="minorHAnsi"/>
          <w:sz w:val="22"/>
          <w:szCs w:val="22"/>
        </w:rPr>
        <w:t xml:space="preserve">. </w:t>
      </w:r>
      <w:r w:rsidR="00632ACD" w:rsidRPr="00377F62">
        <w:rPr>
          <w:rFonts w:asciiTheme="minorHAnsi" w:hAnsiTheme="minorHAnsi"/>
          <w:sz w:val="22"/>
          <w:szCs w:val="22"/>
        </w:rPr>
        <w:t>The current figure is based on the rate of return determined by Ofgem for independent gas transporters.</w:t>
      </w:r>
    </w:p>
    <w:p w14:paraId="0C35EDF0" w14:textId="77777777" w:rsidR="009715CB" w:rsidRPr="00377F62" w:rsidRDefault="009715CB" w:rsidP="009715CB">
      <w:pPr>
        <w:pStyle w:val="Subtitle"/>
        <w:rPr>
          <w:lang w:val="en-US"/>
        </w:rPr>
      </w:pPr>
    </w:p>
    <w:p w14:paraId="701202DF" w14:textId="7A81F8D5" w:rsidR="00140A36" w:rsidRPr="00D9453F" w:rsidRDefault="00140A36" w:rsidP="009715CB">
      <w:pPr>
        <w:pStyle w:val="Subtitle"/>
        <w:rPr>
          <w:u w:val="single"/>
        </w:rPr>
      </w:pPr>
      <w:r w:rsidRPr="00D9453F">
        <w:rPr>
          <w:u w:val="single"/>
        </w:rPr>
        <w:t>Provision of Billing Data</w:t>
      </w:r>
    </w:p>
    <w:p w14:paraId="7E052330" w14:textId="77777777" w:rsidR="008308F2" w:rsidRPr="008308F2" w:rsidRDefault="008308F2" w:rsidP="008308F2">
      <w:pPr>
        <w:autoSpaceDE w:val="0"/>
        <w:autoSpaceDN w:val="0"/>
        <w:adjustRightInd w:val="0"/>
        <w:spacing w:after="0" w:line="240" w:lineRule="auto"/>
        <w:rPr>
          <w:rFonts w:cs="Arial"/>
          <w:color w:val="000000"/>
          <w:sz w:val="24"/>
          <w:szCs w:val="24"/>
        </w:rPr>
      </w:pPr>
    </w:p>
    <w:p w14:paraId="2623E425" w14:textId="77777777" w:rsidR="008308F2" w:rsidRPr="008308F2" w:rsidRDefault="00EA2CED" w:rsidP="008308F2">
      <w:pPr>
        <w:autoSpaceDE w:val="0"/>
        <w:autoSpaceDN w:val="0"/>
        <w:adjustRightInd w:val="0"/>
        <w:spacing w:after="262" w:line="240" w:lineRule="auto"/>
        <w:rPr>
          <w:rFonts w:cs="Arial"/>
          <w:color w:val="000000"/>
        </w:rPr>
      </w:pPr>
      <w:r>
        <w:rPr>
          <w:rFonts w:cs="Arial"/>
          <w:color w:val="000000"/>
        </w:rPr>
        <w:t>2.</w:t>
      </w:r>
      <w:r w:rsidR="002F3146">
        <w:rPr>
          <w:rFonts w:cs="Arial"/>
          <w:color w:val="000000"/>
        </w:rPr>
        <w:t>81</w:t>
      </w:r>
      <w:r w:rsidR="006B119E">
        <w:rPr>
          <w:rFonts w:cs="Arial"/>
          <w:color w:val="000000"/>
        </w:rPr>
        <w:t xml:space="preserve">. </w:t>
      </w:r>
      <w:r w:rsidR="008308F2" w:rsidRPr="008308F2">
        <w:rPr>
          <w:rFonts w:cs="Arial"/>
          <w:color w:val="000000"/>
        </w:rPr>
        <w:t xml:space="preserve">Where HH metering data is required for UoS charging and this is not provided in accordance with the BSC or the Distribution Connection and Use of System Agreement (DCUSA), such metering data shall be provided to us by the User of the system in respect of each calendar month within five working days of the end of that calendar month. </w:t>
      </w:r>
    </w:p>
    <w:p w14:paraId="49F43516" w14:textId="77777777" w:rsidR="008308F2" w:rsidRPr="008308F2" w:rsidRDefault="002F3146" w:rsidP="008308F2">
      <w:pPr>
        <w:autoSpaceDE w:val="0"/>
        <w:autoSpaceDN w:val="0"/>
        <w:adjustRightInd w:val="0"/>
        <w:spacing w:after="0" w:line="240" w:lineRule="auto"/>
        <w:rPr>
          <w:rFonts w:cs="Arial"/>
          <w:color w:val="000000"/>
        </w:rPr>
      </w:pPr>
      <w:r>
        <w:rPr>
          <w:rFonts w:cs="Arial"/>
          <w:color w:val="000000"/>
        </w:rPr>
        <w:t>2.82</w:t>
      </w:r>
      <w:r w:rsidR="006B119E">
        <w:rPr>
          <w:rFonts w:cs="Arial"/>
          <w:color w:val="000000"/>
        </w:rPr>
        <w:t xml:space="preserve">. </w:t>
      </w:r>
      <w:r w:rsidR="008308F2" w:rsidRPr="008308F2">
        <w:rPr>
          <w:rFonts w:cs="Arial"/>
          <w:color w:val="000000"/>
        </w:rPr>
        <w:t xml:space="preserve">The metering data shall identify the amount consumed and/or produced in each half hour of each day and shall separately identify active and reactive import and export. Metering data provided to us shall be consistent with that received through the metering equipment installed. </w:t>
      </w:r>
    </w:p>
    <w:p w14:paraId="38A55812" w14:textId="77777777" w:rsidR="00703854" w:rsidRPr="0069787F" w:rsidRDefault="00703854" w:rsidP="00140A36">
      <w:pPr>
        <w:autoSpaceDE w:val="0"/>
        <w:autoSpaceDN w:val="0"/>
        <w:adjustRightInd w:val="0"/>
        <w:spacing w:after="0" w:line="240" w:lineRule="auto"/>
        <w:rPr>
          <w:rFonts w:cs="Helvetica"/>
          <w:color w:val="000000"/>
          <w:szCs w:val="20"/>
        </w:rPr>
      </w:pPr>
    </w:p>
    <w:p w14:paraId="3A308487" w14:textId="77777777" w:rsidR="00140A36" w:rsidRPr="008308F2" w:rsidRDefault="006B119E" w:rsidP="00140A36">
      <w:pPr>
        <w:autoSpaceDE w:val="0"/>
        <w:autoSpaceDN w:val="0"/>
        <w:adjustRightInd w:val="0"/>
        <w:spacing w:after="0" w:line="240" w:lineRule="auto"/>
        <w:rPr>
          <w:rFonts w:cs="Helvetica"/>
          <w:color w:val="000000"/>
          <w:szCs w:val="20"/>
        </w:rPr>
      </w:pPr>
      <w:r>
        <w:rPr>
          <w:rFonts w:cs="Tahoma"/>
          <w:color w:val="000000"/>
        </w:rPr>
        <w:t>2.</w:t>
      </w:r>
      <w:r w:rsidR="002F3146">
        <w:rPr>
          <w:rFonts w:cs="Tahoma"/>
          <w:color w:val="000000"/>
        </w:rPr>
        <w:t>83</w:t>
      </w:r>
      <w:r>
        <w:rPr>
          <w:rFonts w:cs="Tahoma"/>
          <w:color w:val="000000"/>
        </w:rPr>
        <w:t xml:space="preserve">. </w:t>
      </w:r>
      <w:r w:rsidR="008308F2" w:rsidRPr="008308F2">
        <w:rPr>
          <w:rFonts w:cs="Tahoma"/>
          <w:color w:val="000000"/>
        </w:rPr>
        <w:t xml:space="preserve">Metering data shall be provided in an electronic format specified by us from time to time and, in the absence of such specification, metering data shall be provided in a comma-separated text file in the format of Master Registration Agreement (MRA) data flow D0036 (as agreed with us). </w:t>
      </w:r>
      <w:r w:rsidR="004245F6" w:rsidRPr="008308F2">
        <w:rPr>
          <w:rFonts w:cs="Helvetica"/>
          <w:color w:val="000000"/>
          <w:szCs w:val="20"/>
        </w:rPr>
        <w:t xml:space="preserve">The data shall be emailed to </w:t>
      </w:r>
      <w:hyperlink r:id="rId13" w:history="1">
        <w:r w:rsidR="008308F2" w:rsidRPr="00AE1FDC">
          <w:rPr>
            <w:rStyle w:val="Hyperlink"/>
            <w:rFonts w:cs="Helvetica"/>
            <w:szCs w:val="20"/>
          </w:rPr>
          <w:t>info@harlaxtonenergynetworks.com</w:t>
        </w:r>
      </w:hyperlink>
      <w:r w:rsidR="004245F6" w:rsidRPr="008308F2">
        <w:rPr>
          <w:rFonts w:cs="Helvetica"/>
          <w:color w:val="000000"/>
          <w:szCs w:val="20"/>
        </w:rPr>
        <w:t xml:space="preserve"> </w:t>
      </w:r>
    </w:p>
    <w:p w14:paraId="72590EA6" w14:textId="77777777" w:rsidR="000A5D73" w:rsidRPr="0069787F" w:rsidRDefault="000A5D73" w:rsidP="00140A36">
      <w:pPr>
        <w:autoSpaceDE w:val="0"/>
        <w:autoSpaceDN w:val="0"/>
        <w:adjustRightInd w:val="0"/>
        <w:spacing w:after="0" w:line="240" w:lineRule="auto"/>
        <w:rPr>
          <w:rFonts w:cs="Helvetica"/>
          <w:color w:val="000000"/>
          <w:szCs w:val="20"/>
        </w:rPr>
      </w:pPr>
    </w:p>
    <w:p w14:paraId="5D93EDD0"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2F3146">
        <w:rPr>
          <w:rFonts w:cs="Helvetica"/>
          <w:color w:val="000000"/>
          <w:szCs w:val="20"/>
        </w:rPr>
        <w:t>84</w:t>
      </w:r>
      <w:r>
        <w:rPr>
          <w:rFonts w:cs="Helvetica"/>
          <w:color w:val="000000"/>
          <w:szCs w:val="20"/>
        </w:rPr>
        <w:t xml:space="preserve">. </w:t>
      </w:r>
      <w:r w:rsidR="008308F2">
        <w:rPr>
          <w:rFonts w:cs="Helvetica"/>
          <w:color w:val="000000"/>
          <w:szCs w:val="20"/>
        </w:rPr>
        <w:t>We require</w:t>
      </w:r>
      <w:r w:rsidR="00140A36" w:rsidRPr="0069787F">
        <w:rPr>
          <w:rFonts w:cs="Helvetica"/>
          <w:color w:val="000000"/>
          <w:szCs w:val="20"/>
        </w:rPr>
        <w:t xml:space="preserve"> details of reactive power imported or exported to be provided for all</w:t>
      </w:r>
      <w:r w:rsidR="008308F2">
        <w:rPr>
          <w:rFonts w:cs="Helvetica"/>
          <w:color w:val="000000"/>
          <w:szCs w:val="20"/>
        </w:rPr>
        <w:t xml:space="preserve"> </w:t>
      </w:r>
      <w:r w:rsidR="00140A36" w:rsidRPr="0069787F">
        <w:rPr>
          <w:rFonts w:cs="Helvetica"/>
          <w:color w:val="000000"/>
          <w:szCs w:val="20"/>
        </w:rPr>
        <w:t>Measurement Class C (mandatory HH metered) sites and for Measurement Class E</w:t>
      </w:r>
      <w:r w:rsidR="004245F6" w:rsidRPr="0069787F">
        <w:rPr>
          <w:rFonts w:cs="Helvetica"/>
          <w:color w:val="000000"/>
          <w:szCs w:val="20"/>
        </w:rPr>
        <w:t xml:space="preserve"> </w:t>
      </w:r>
      <w:r w:rsidR="00140A36" w:rsidRPr="0069787F">
        <w:rPr>
          <w:rFonts w:cs="Helvetica"/>
          <w:color w:val="000000"/>
          <w:szCs w:val="20"/>
        </w:rPr>
        <w:t>(elective HH metered sites). It is also required for CVA sites and exempt distribution</w:t>
      </w:r>
      <w:r w:rsidR="004245F6" w:rsidRPr="0069787F">
        <w:rPr>
          <w:rFonts w:cs="Helvetica"/>
          <w:color w:val="000000"/>
          <w:szCs w:val="20"/>
        </w:rPr>
        <w:t xml:space="preserve"> </w:t>
      </w:r>
      <w:r w:rsidR="00140A36" w:rsidRPr="0069787F">
        <w:rPr>
          <w:rFonts w:cs="Helvetica"/>
          <w:color w:val="000000"/>
          <w:szCs w:val="20"/>
        </w:rPr>
        <w:t>network boundarie</w:t>
      </w:r>
      <w:r w:rsidR="000A5D73" w:rsidRPr="0069787F">
        <w:rPr>
          <w:rFonts w:cs="Helvetica"/>
          <w:color w:val="000000"/>
          <w:szCs w:val="20"/>
        </w:rPr>
        <w:t xml:space="preserve">s with difference metering. Harlaxton </w:t>
      </w:r>
      <w:r w:rsidR="004245F6" w:rsidRPr="0069787F">
        <w:rPr>
          <w:rFonts w:cs="Helvetica"/>
          <w:color w:val="000000"/>
          <w:szCs w:val="20"/>
        </w:rPr>
        <w:t xml:space="preserve">Energy Networks </w:t>
      </w:r>
      <w:r w:rsidR="00140A36" w:rsidRPr="0069787F">
        <w:rPr>
          <w:rFonts w:cs="Helvetica"/>
          <w:color w:val="000000"/>
          <w:szCs w:val="20"/>
        </w:rPr>
        <w:t>reserve</w:t>
      </w:r>
      <w:r w:rsidR="000A5D73" w:rsidRPr="0069787F">
        <w:rPr>
          <w:rFonts w:cs="Helvetica"/>
          <w:color w:val="000000"/>
          <w:szCs w:val="20"/>
        </w:rPr>
        <w:t>s the right to levy a charge on u</w:t>
      </w:r>
      <w:r w:rsidR="00140A36" w:rsidRPr="0069787F">
        <w:rPr>
          <w:rFonts w:cs="Helvetica"/>
          <w:color w:val="000000"/>
          <w:szCs w:val="20"/>
        </w:rPr>
        <w:t>sers who fail to provide such reactive data. In order to estimate missing reactive data, a</w:t>
      </w:r>
      <w:r w:rsidR="004245F6" w:rsidRPr="0069787F">
        <w:rPr>
          <w:rFonts w:cs="Helvetica"/>
          <w:color w:val="000000"/>
          <w:szCs w:val="20"/>
        </w:rPr>
        <w:t xml:space="preserve"> </w:t>
      </w:r>
      <w:r w:rsidR="00140A36" w:rsidRPr="0069787F">
        <w:rPr>
          <w:rFonts w:cs="Helvetica"/>
          <w:color w:val="000000"/>
          <w:szCs w:val="20"/>
        </w:rPr>
        <w:t>Power Factor of 0.9 lag will be applied to the active consumption in any half hour.</w:t>
      </w:r>
    </w:p>
    <w:p w14:paraId="0F1739FA" w14:textId="77777777" w:rsidR="000A5D73" w:rsidRPr="00CD4EDF" w:rsidRDefault="000A5D73" w:rsidP="00140A36">
      <w:pPr>
        <w:autoSpaceDE w:val="0"/>
        <w:autoSpaceDN w:val="0"/>
        <w:adjustRightInd w:val="0"/>
        <w:spacing w:after="0" w:line="240" w:lineRule="auto"/>
        <w:rPr>
          <w:rFonts w:ascii="Book Antiqua" w:hAnsi="Book Antiqua" w:cs="Helvetica-Bold"/>
          <w:b/>
          <w:bCs/>
          <w:color w:val="000000"/>
          <w:sz w:val="24"/>
          <w:szCs w:val="24"/>
        </w:rPr>
      </w:pPr>
    </w:p>
    <w:p w14:paraId="0917F780" w14:textId="77777777" w:rsidR="00140A36" w:rsidRPr="00443EAF" w:rsidRDefault="00140A36" w:rsidP="00242D78">
      <w:pPr>
        <w:pStyle w:val="Subtitle"/>
        <w:spacing w:after="0"/>
        <w:rPr>
          <w:sz w:val="24"/>
          <w:u w:val="single"/>
        </w:rPr>
      </w:pPr>
      <w:r w:rsidRPr="00443EAF">
        <w:rPr>
          <w:sz w:val="24"/>
          <w:u w:val="single"/>
        </w:rPr>
        <w:t>Out of Area Use of System Charges</w:t>
      </w:r>
    </w:p>
    <w:p w14:paraId="777EAE82" w14:textId="77777777" w:rsidR="000A5D73" w:rsidRPr="00CD4EDF" w:rsidRDefault="000A5D73" w:rsidP="00242D78">
      <w:pPr>
        <w:autoSpaceDE w:val="0"/>
        <w:autoSpaceDN w:val="0"/>
        <w:adjustRightInd w:val="0"/>
        <w:spacing w:after="0" w:line="240" w:lineRule="auto"/>
        <w:rPr>
          <w:rFonts w:ascii="Book Antiqua" w:hAnsi="Book Antiqua" w:cs="Helvetica"/>
          <w:color w:val="000000"/>
          <w:sz w:val="20"/>
          <w:szCs w:val="20"/>
        </w:rPr>
      </w:pPr>
    </w:p>
    <w:p w14:paraId="51F9963B" w14:textId="77777777" w:rsidR="00140A36" w:rsidRPr="0069787F" w:rsidRDefault="006B119E" w:rsidP="00242D78">
      <w:pPr>
        <w:autoSpaceDE w:val="0"/>
        <w:autoSpaceDN w:val="0"/>
        <w:adjustRightInd w:val="0"/>
        <w:spacing w:after="0" w:line="240" w:lineRule="auto"/>
        <w:rPr>
          <w:rFonts w:cs="Helvetica"/>
          <w:color w:val="000000"/>
          <w:szCs w:val="20"/>
        </w:rPr>
      </w:pPr>
      <w:r>
        <w:rPr>
          <w:rFonts w:cs="Helvetica"/>
          <w:color w:val="000000"/>
          <w:szCs w:val="20"/>
        </w:rPr>
        <w:t>2.</w:t>
      </w:r>
      <w:r w:rsidR="002F3146">
        <w:rPr>
          <w:rFonts w:cs="Helvetica"/>
          <w:color w:val="000000"/>
          <w:szCs w:val="20"/>
        </w:rPr>
        <w:t>85</w:t>
      </w:r>
      <w:r>
        <w:rPr>
          <w:rFonts w:cs="Helvetica"/>
          <w:color w:val="000000"/>
          <w:szCs w:val="20"/>
        </w:rPr>
        <w:t xml:space="preserve">. </w:t>
      </w:r>
      <w:r w:rsidR="000A5D73" w:rsidRPr="0069787F">
        <w:rPr>
          <w:rFonts w:cs="Helvetica"/>
          <w:color w:val="000000"/>
          <w:szCs w:val="20"/>
        </w:rPr>
        <w:t xml:space="preserve">Harlaxton </w:t>
      </w:r>
      <w:r w:rsidR="004245F6" w:rsidRPr="0069787F">
        <w:rPr>
          <w:rFonts w:cs="Helvetica"/>
          <w:color w:val="000000"/>
          <w:szCs w:val="20"/>
        </w:rPr>
        <w:t xml:space="preserve">Energy Networks </w:t>
      </w:r>
      <w:r w:rsidR="00140A36" w:rsidRPr="0069787F">
        <w:rPr>
          <w:rFonts w:cs="Helvetica"/>
          <w:color w:val="000000"/>
          <w:szCs w:val="20"/>
        </w:rPr>
        <w:t>does not have a Distribution Services Area.</w:t>
      </w:r>
    </w:p>
    <w:p w14:paraId="6F052993" w14:textId="77777777" w:rsidR="000A5D73" w:rsidRPr="0069787F" w:rsidRDefault="000A5D73" w:rsidP="00140A36">
      <w:pPr>
        <w:autoSpaceDE w:val="0"/>
        <w:autoSpaceDN w:val="0"/>
        <w:adjustRightInd w:val="0"/>
        <w:spacing w:after="0" w:line="240" w:lineRule="auto"/>
        <w:rPr>
          <w:rFonts w:cs="Helvetica-Bold"/>
          <w:b/>
          <w:bCs/>
          <w:color w:val="000000"/>
          <w:sz w:val="28"/>
          <w:szCs w:val="24"/>
          <w:u w:val="single"/>
        </w:rPr>
      </w:pPr>
    </w:p>
    <w:p w14:paraId="4BCB7B55" w14:textId="77777777" w:rsidR="00550ADD" w:rsidRDefault="00550ADD" w:rsidP="00242D78">
      <w:pPr>
        <w:pStyle w:val="Subtitle"/>
        <w:spacing w:after="0"/>
        <w:rPr>
          <w:sz w:val="24"/>
          <w:u w:val="single"/>
        </w:rPr>
      </w:pPr>
    </w:p>
    <w:p w14:paraId="3418EBEE" w14:textId="77777777" w:rsidR="00140A36" w:rsidRPr="00443EAF" w:rsidRDefault="00AC3DF7" w:rsidP="00242D78">
      <w:pPr>
        <w:pStyle w:val="Subtitle"/>
        <w:spacing w:after="0"/>
        <w:rPr>
          <w:sz w:val="24"/>
          <w:u w:val="single"/>
        </w:rPr>
      </w:pPr>
      <w:r w:rsidRPr="00443EAF">
        <w:rPr>
          <w:sz w:val="24"/>
          <w:u w:val="single"/>
        </w:rPr>
        <w:lastRenderedPageBreak/>
        <w:t>L</w:t>
      </w:r>
      <w:r w:rsidR="00140A36" w:rsidRPr="00443EAF">
        <w:rPr>
          <w:sz w:val="24"/>
          <w:u w:val="single"/>
        </w:rPr>
        <w:t>icensed Distributor Network Operator Charges</w:t>
      </w:r>
    </w:p>
    <w:p w14:paraId="3B1FE94B" w14:textId="77777777" w:rsidR="000A5D73" w:rsidRPr="00CD4EDF" w:rsidRDefault="000A5D73" w:rsidP="00242D78">
      <w:pPr>
        <w:autoSpaceDE w:val="0"/>
        <w:autoSpaceDN w:val="0"/>
        <w:adjustRightInd w:val="0"/>
        <w:spacing w:after="0" w:line="240" w:lineRule="auto"/>
        <w:rPr>
          <w:rFonts w:ascii="Book Antiqua" w:hAnsi="Book Antiqua" w:cs="Helvetica"/>
          <w:color w:val="000000"/>
          <w:sz w:val="20"/>
          <w:szCs w:val="20"/>
        </w:rPr>
      </w:pPr>
    </w:p>
    <w:p w14:paraId="0BF5C83D" w14:textId="77777777" w:rsidR="009715CB" w:rsidRDefault="009715CB" w:rsidP="00242D78">
      <w:pPr>
        <w:autoSpaceDE w:val="0"/>
        <w:autoSpaceDN w:val="0"/>
        <w:adjustRightInd w:val="0"/>
        <w:spacing w:after="0" w:line="240" w:lineRule="auto"/>
        <w:rPr>
          <w:rFonts w:cs="Helvetica"/>
          <w:color w:val="000000"/>
          <w:szCs w:val="20"/>
        </w:rPr>
      </w:pPr>
    </w:p>
    <w:p w14:paraId="5245C84C" w14:textId="77777777" w:rsidR="00140A36" w:rsidRPr="0069787F" w:rsidRDefault="00EA2CED" w:rsidP="00242D78">
      <w:pPr>
        <w:autoSpaceDE w:val="0"/>
        <w:autoSpaceDN w:val="0"/>
        <w:adjustRightInd w:val="0"/>
        <w:spacing w:after="0" w:line="240" w:lineRule="auto"/>
        <w:rPr>
          <w:rFonts w:cs="Helvetica"/>
          <w:color w:val="000000"/>
          <w:szCs w:val="20"/>
        </w:rPr>
      </w:pPr>
      <w:r>
        <w:rPr>
          <w:rFonts w:cs="Helvetica"/>
          <w:color w:val="000000"/>
          <w:szCs w:val="20"/>
        </w:rPr>
        <w:t>2.</w:t>
      </w:r>
      <w:r w:rsidR="002F3146">
        <w:rPr>
          <w:rFonts w:cs="Helvetica"/>
          <w:color w:val="000000"/>
          <w:szCs w:val="20"/>
        </w:rPr>
        <w:t>86</w:t>
      </w:r>
      <w:r w:rsidR="006B119E">
        <w:rPr>
          <w:rFonts w:cs="Helvetica"/>
          <w:color w:val="000000"/>
          <w:szCs w:val="20"/>
        </w:rPr>
        <w:t xml:space="preserve">. </w:t>
      </w:r>
      <w:r w:rsidR="00140A36" w:rsidRPr="0069787F">
        <w:rPr>
          <w:rFonts w:cs="Helvetica"/>
          <w:color w:val="000000"/>
          <w:szCs w:val="20"/>
        </w:rPr>
        <w:t>Licensed Distribution Network Operator (LDNO) charges are applied to LDNOs who</w:t>
      </w:r>
      <w:r w:rsidR="004245F6" w:rsidRPr="0069787F">
        <w:rPr>
          <w:rFonts w:cs="Helvetica"/>
          <w:color w:val="000000"/>
          <w:szCs w:val="20"/>
        </w:rPr>
        <w:t xml:space="preserve"> </w:t>
      </w:r>
      <w:r w:rsidR="00140A36" w:rsidRPr="0069787F">
        <w:rPr>
          <w:rFonts w:cs="Helvetica"/>
          <w:color w:val="000000"/>
          <w:szCs w:val="20"/>
        </w:rPr>
        <w:t>op</w:t>
      </w:r>
      <w:r w:rsidR="004245F6" w:rsidRPr="0069787F">
        <w:rPr>
          <w:rFonts w:cs="Helvetica"/>
          <w:color w:val="000000"/>
          <w:szCs w:val="20"/>
        </w:rPr>
        <w:t>erate Embedded Networks within Harlaxton Energy</w:t>
      </w:r>
      <w:r w:rsidR="00140A36" w:rsidRPr="0069787F">
        <w:rPr>
          <w:rFonts w:cs="Helvetica"/>
          <w:color w:val="000000"/>
          <w:szCs w:val="20"/>
        </w:rPr>
        <w:t xml:space="preserve"> </w:t>
      </w:r>
      <w:r w:rsidR="004245F6" w:rsidRPr="0069787F">
        <w:rPr>
          <w:rFonts w:cs="Helvetica"/>
          <w:color w:val="000000"/>
          <w:szCs w:val="20"/>
        </w:rPr>
        <w:t>Network</w:t>
      </w:r>
      <w:r w:rsidR="00140A36" w:rsidRPr="0069787F">
        <w:rPr>
          <w:rFonts w:cs="Helvetica"/>
          <w:color w:val="000000"/>
          <w:szCs w:val="20"/>
        </w:rPr>
        <w:t>s.</w:t>
      </w:r>
    </w:p>
    <w:p w14:paraId="5A21F495" w14:textId="77777777" w:rsidR="000A5D73" w:rsidRDefault="000A5D73" w:rsidP="00140A36">
      <w:pPr>
        <w:autoSpaceDE w:val="0"/>
        <w:autoSpaceDN w:val="0"/>
        <w:adjustRightInd w:val="0"/>
        <w:spacing w:after="0" w:line="240" w:lineRule="auto"/>
        <w:rPr>
          <w:rFonts w:cs="Helvetica"/>
          <w:color w:val="000000"/>
          <w:szCs w:val="20"/>
        </w:rPr>
      </w:pPr>
    </w:p>
    <w:p w14:paraId="63B0E453" w14:textId="77777777" w:rsidR="00451F58" w:rsidRPr="0069787F" w:rsidRDefault="00451F58" w:rsidP="00140A36">
      <w:pPr>
        <w:autoSpaceDE w:val="0"/>
        <w:autoSpaceDN w:val="0"/>
        <w:adjustRightInd w:val="0"/>
        <w:spacing w:after="0" w:line="240" w:lineRule="auto"/>
        <w:rPr>
          <w:rFonts w:cs="Helvetica"/>
          <w:color w:val="000000"/>
          <w:szCs w:val="20"/>
        </w:rPr>
      </w:pPr>
    </w:p>
    <w:p w14:paraId="14342915"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2F3146">
        <w:rPr>
          <w:rFonts w:cs="Helvetica"/>
          <w:color w:val="000000"/>
          <w:szCs w:val="20"/>
        </w:rPr>
        <w:t>87</w:t>
      </w:r>
      <w:r>
        <w:rPr>
          <w:rFonts w:cs="Helvetica"/>
          <w:color w:val="000000"/>
          <w:szCs w:val="20"/>
        </w:rPr>
        <w:t xml:space="preserve">. </w:t>
      </w:r>
      <w:r w:rsidR="00140A36" w:rsidRPr="0069787F">
        <w:rPr>
          <w:rFonts w:cs="Helvetica"/>
          <w:color w:val="000000"/>
          <w:szCs w:val="20"/>
        </w:rPr>
        <w:t>The charge structure for LV and HV Designated Properties embedded in Networks</w:t>
      </w:r>
      <w:r w:rsidR="004245F6" w:rsidRPr="0069787F">
        <w:rPr>
          <w:rFonts w:cs="Helvetica"/>
          <w:color w:val="000000"/>
          <w:szCs w:val="20"/>
        </w:rPr>
        <w:t xml:space="preserve"> </w:t>
      </w:r>
      <w:r w:rsidR="00140A36" w:rsidRPr="0069787F">
        <w:rPr>
          <w:rFonts w:cs="Helvetica"/>
          <w:color w:val="000000"/>
          <w:szCs w:val="20"/>
        </w:rPr>
        <w:t>operated by LDNOs will mirror the structure of the ‘all-the-way’ charge and is dependent</w:t>
      </w:r>
      <w:r w:rsidR="004245F6" w:rsidRPr="0069787F">
        <w:rPr>
          <w:rFonts w:cs="Helvetica"/>
          <w:color w:val="000000"/>
          <w:szCs w:val="20"/>
        </w:rPr>
        <w:t xml:space="preserve"> </w:t>
      </w:r>
      <w:r w:rsidR="00140A36" w:rsidRPr="0069787F">
        <w:rPr>
          <w:rFonts w:cs="Helvetica"/>
          <w:color w:val="000000"/>
          <w:szCs w:val="20"/>
        </w:rPr>
        <w:t xml:space="preserve">upon the voltage of connection of each Embedded Network to the </w:t>
      </w:r>
      <w:r w:rsidR="004245F6" w:rsidRPr="0069787F">
        <w:rPr>
          <w:rFonts w:cs="Helvetica"/>
          <w:color w:val="000000"/>
          <w:szCs w:val="20"/>
        </w:rPr>
        <w:t>Harlaxton Energy N</w:t>
      </w:r>
      <w:r w:rsidR="00140A36" w:rsidRPr="0069787F">
        <w:rPr>
          <w:rFonts w:cs="Helvetica"/>
          <w:color w:val="000000"/>
          <w:szCs w:val="20"/>
        </w:rPr>
        <w:t>etwork. The</w:t>
      </w:r>
      <w:r w:rsidR="004245F6" w:rsidRPr="0069787F">
        <w:rPr>
          <w:rFonts w:cs="Helvetica"/>
          <w:color w:val="000000"/>
          <w:szCs w:val="20"/>
        </w:rPr>
        <w:t xml:space="preserve"> </w:t>
      </w:r>
      <w:r w:rsidR="00140A36" w:rsidRPr="0069787F">
        <w:rPr>
          <w:rFonts w:cs="Helvetica"/>
          <w:color w:val="000000"/>
          <w:szCs w:val="20"/>
        </w:rPr>
        <w:t>same charge elements will apply as those that match the LDNO’s end customer Charges.</w:t>
      </w:r>
      <w:r w:rsidR="004245F6" w:rsidRPr="0069787F">
        <w:rPr>
          <w:rFonts w:cs="Helvetica"/>
          <w:color w:val="000000"/>
          <w:szCs w:val="20"/>
        </w:rPr>
        <w:t xml:space="preserve"> </w:t>
      </w:r>
      <w:r w:rsidR="00140A36" w:rsidRPr="0069787F">
        <w:rPr>
          <w:rFonts w:cs="Helvetica"/>
          <w:color w:val="000000"/>
          <w:szCs w:val="20"/>
        </w:rPr>
        <w:t>The relevant charge structures are set out in Annex 4.</w:t>
      </w:r>
    </w:p>
    <w:p w14:paraId="3018D7CE" w14:textId="77777777" w:rsidR="000A5D73" w:rsidRPr="0069787F" w:rsidRDefault="000A5D73" w:rsidP="00140A36">
      <w:pPr>
        <w:autoSpaceDE w:val="0"/>
        <w:autoSpaceDN w:val="0"/>
        <w:adjustRightInd w:val="0"/>
        <w:spacing w:after="0" w:line="240" w:lineRule="auto"/>
        <w:rPr>
          <w:rFonts w:cs="Helvetica"/>
          <w:color w:val="000000"/>
          <w:szCs w:val="20"/>
        </w:rPr>
      </w:pPr>
    </w:p>
    <w:p w14:paraId="441BD71F"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2F3146">
        <w:rPr>
          <w:rFonts w:cs="Helvetica"/>
          <w:color w:val="000000"/>
          <w:szCs w:val="20"/>
        </w:rPr>
        <w:t>88</w:t>
      </w:r>
      <w:r>
        <w:rPr>
          <w:rFonts w:cs="Helvetica"/>
          <w:color w:val="000000"/>
          <w:szCs w:val="20"/>
        </w:rPr>
        <w:t xml:space="preserve">. </w:t>
      </w:r>
      <w:r w:rsidR="00140A36" w:rsidRPr="0069787F">
        <w:rPr>
          <w:rFonts w:cs="Helvetica"/>
          <w:color w:val="000000"/>
          <w:szCs w:val="20"/>
        </w:rPr>
        <w:t>Where an MPAN has an Invalid Settlement combination, the ‘LDNO HV: Domestic</w:t>
      </w:r>
      <w:r w:rsidR="004245F6" w:rsidRPr="0069787F">
        <w:rPr>
          <w:rFonts w:cs="Helvetica"/>
          <w:color w:val="000000"/>
          <w:szCs w:val="20"/>
        </w:rPr>
        <w:t xml:space="preserve"> </w:t>
      </w:r>
      <w:r w:rsidR="00140A36" w:rsidRPr="0069787F">
        <w:rPr>
          <w:rFonts w:cs="Helvetica"/>
          <w:color w:val="000000"/>
          <w:szCs w:val="20"/>
        </w:rPr>
        <w:t>Unrestricted’ fixed and unit charges will be applied as default until the invalid combination is</w:t>
      </w:r>
      <w:r w:rsidR="004245F6" w:rsidRPr="0069787F">
        <w:rPr>
          <w:rFonts w:cs="Helvetica"/>
          <w:color w:val="000000"/>
          <w:szCs w:val="20"/>
        </w:rPr>
        <w:t xml:space="preserve"> </w:t>
      </w:r>
      <w:r w:rsidR="00140A36" w:rsidRPr="0069787F">
        <w:rPr>
          <w:rFonts w:cs="Helvetica"/>
          <w:color w:val="000000"/>
          <w:szCs w:val="20"/>
        </w:rPr>
        <w:t>corrected. Where there are multiple SSC/TPR combinations, the default ‘LDNO HV:</w:t>
      </w:r>
      <w:r w:rsidR="004245F6" w:rsidRPr="0069787F">
        <w:rPr>
          <w:rFonts w:cs="Helvetica"/>
          <w:color w:val="000000"/>
          <w:szCs w:val="20"/>
        </w:rPr>
        <w:t xml:space="preserve"> </w:t>
      </w:r>
      <w:r w:rsidR="00140A36" w:rsidRPr="0069787F">
        <w:rPr>
          <w:rFonts w:cs="Helvetica"/>
          <w:color w:val="000000"/>
          <w:szCs w:val="20"/>
        </w:rPr>
        <w:t>Domestic Unrestricted’ fixed and unit charge will be applied for each invalid TPR</w:t>
      </w:r>
      <w:r w:rsidR="004245F6" w:rsidRPr="0069787F">
        <w:rPr>
          <w:rFonts w:cs="Helvetica"/>
          <w:color w:val="000000"/>
          <w:szCs w:val="20"/>
        </w:rPr>
        <w:t xml:space="preserve"> </w:t>
      </w:r>
      <w:r w:rsidR="00140A36" w:rsidRPr="0069787F">
        <w:rPr>
          <w:rFonts w:cs="Helvetica"/>
          <w:color w:val="000000"/>
          <w:szCs w:val="20"/>
        </w:rPr>
        <w:t>combination.</w:t>
      </w:r>
    </w:p>
    <w:p w14:paraId="7B189F91" w14:textId="77777777" w:rsidR="000A5D73" w:rsidRPr="0069787F" w:rsidRDefault="000A5D73" w:rsidP="00140A36">
      <w:pPr>
        <w:autoSpaceDE w:val="0"/>
        <w:autoSpaceDN w:val="0"/>
        <w:adjustRightInd w:val="0"/>
        <w:spacing w:after="0" w:line="240" w:lineRule="auto"/>
        <w:rPr>
          <w:rFonts w:cs="Helvetica"/>
          <w:color w:val="000000"/>
          <w:szCs w:val="20"/>
        </w:rPr>
      </w:pPr>
    </w:p>
    <w:p w14:paraId="7AAE7FAC" w14:textId="77777777" w:rsidR="00140A36" w:rsidRPr="0069787F" w:rsidRDefault="006B119E" w:rsidP="00140A36">
      <w:pPr>
        <w:autoSpaceDE w:val="0"/>
        <w:autoSpaceDN w:val="0"/>
        <w:adjustRightInd w:val="0"/>
        <w:spacing w:after="0" w:line="240" w:lineRule="auto"/>
        <w:rPr>
          <w:rFonts w:cs="Helvetica"/>
          <w:color w:val="000000"/>
          <w:szCs w:val="20"/>
        </w:rPr>
      </w:pPr>
      <w:r>
        <w:rPr>
          <w:rFonts w:cs="Helvetica"/>
          <w:color w:val="000000"/>
          <w:szCs w:val="20"/>
        </w:rPr>
        <w:t>2.</w:t>
      </w:r>
      <w:r w:rsidR="002F3146">
        <w:rPr>
          <w:rFonts w:cs="Helvetica"/>
          <w:color w:val="000000"/>
          <w:szCs w:val="20"/>
        </w:rPr>
        <w:t>89</w:t>
      </w:r>
      <w:r>
        <w:rPr>
          <w:rFonts w:cs="Helvetica"/>
          <w:color w:val="000000"/>
          <w:szCs w:val="20"/>
        </w:rPr>
        <w:t xml:space="preserve">. </w:t>
      </w:r>
      <w:r w:rsidR="00140A36" w:rsidRPr="0069787F">
        <w:rPr>
          <w:rFonts w:cs="Helvetica"/>
          <w:color w:val="000000"/>
          <w:szCs w:val="20"/>
        </w:rPr>
        <w:t>The charge structure for Designated EHV Properties embedded in Networks operated by</w:t>
      </w:r>
      <w:r w:rsidR="004245F6" w:rsidRPr="0069787F">
        <w:rPr>
          <w:rFonts w:cs="Helvetica"/>
          <w:color w:val="000000"/>
          <w:szCs w:val="20"/>
        </w:rPr>
        <w:t xml:space="preserve"> </w:t>
      </w:r>
      <w:r w:rsidR="00140A36" w:rsidRPr="0069787F">
        <w:rPr>
          <w:rFonts w:cs="Helvetica"/>
          <w:color w:val="000000"/>
          <w:szCs w:val="20"/>
        </w:rPr>
        <w:t>LDNOs will be calculated individually using the EDCM. The relevant charge structures are</w:t>
      </w:r>
      <w:r w:rsidR="004245F6" w:rsidRPr="0069787F">
        <w:rPr>
          <w:rFonts w:cs="Helvetica"/>
          <w:color w:val="000000"/>
          <w:szCs w:val="20"/>
        </w:rPr>
        <w:t xml:space="preserve"> </w:t>
      </w:r>
      <w:r w:rsidR="00140A36" w:rsidRPr="0069787F">
        <w:rPr>
          <w:rFonts w:cs="Helvetica"/>
          <w:color w:val="000000"/>
          <w:szCs w:val="20"/>
        </w:rPr>
        <w:t>set out in Annex 2.</w:t>
      </w:r>
    </w:p>
    <w:p w14:paraId="1364EF62" w14:textId="77777777" w:rsidR="000A5D73" w:rsidRPr="0069787F" w:rsidRDefault="000A5D73" w:rsidP="00140A36">
      <w:pPr>
        <w:autoSpaceDE w:val="0"/>
        <w:autoSpaceDN w:val="0"/>
        <w:adjustRightInd w:val="0"/>
        <w:spacing w:after="0" w:line="240" w:lineRule="auto"/>
        <w:rPr>
          <w:rFonts w:cs="Helvetica"/>
          <w:color w:val="000000"/>
          <w:szCs w:val="20"/>
        </w:rPr>
      </w:pPr>
    </w:p>
    <w:p w14:paraId="22404CDC" w14:textId="77777777" w:rsidR="009F677B" w:rsidRPr="0069787F" w:rsidRDefault="002F3146" w:rsidP="00D9453F">
      <w:pPr>
        <w:autoSpaceDE w:val="0"/>
        <w:autoSpaceDN w:val="0"/>
        <w:adjustRightInd w:val="0"/>
        <w:spacing w:after="0" w:line="240" w:lineRule="auto"/>
        <w:rPr>
          <w:rFonts w:cs="Helvetica"/>
          <w:color w:val="000000"/>
          <w:szCs w:val="20"/>
        </w:rPr>
      </w:pPr>
      <w:r>
        <w:rPr>
          <w:rFonts w:cs="Helvetica"/>
          <w:color w:val="000000"/>
          <w:szCs w:val="20"/>
        </w:rPr>
        <w:t>2.90</w:t>
      </w:r>
      <w:r w:rsidR="006B119E">
        <w:rPr>
          <w:rFonts w:cs="Helvetica"/>
          <w:color w:val="000000"/>
          <w:szCs w:val="20"/>
        </w:rPr>
        <w:t xml:space="preserve">. </w:t>
      </w:r>
      <w:r w:rsidR="00140A36" w:rsidRPr="0069787F">
        <w:rPr>
          <w:rFonts w:cs="Helvetica"/>
          <w:color w:val="000000"/>
          <w:szCs w:val="20"/>
        </w:rPr>
        <w:t>For Nested Networks the relevant charging principles set out in DCUSA Schedule 21 will</w:t>
      </w:r>
      <w:r w:rsidR="004245F6" w:rsidRPr="0069787F">
        <w:rPr>
          <w:rFonts w:cs="Helvetica"/>
          <w:color w:val="000000"/>
          <w:szCs w:val="20"/>
        </w:rPr>
        <w:t xml:space="preserve"> ap</w:t>
      </w:r>
      <w:r w:rsidR="00CB0F28" w:rsidRPr="0069787F">
        <w:rPr>
          <w:rFonts w:cs="Helvetica"/>
          <w:color w:val="000000"/>
          <w:szCs w:val="20"/>
        </w:rPr>
        <w:t>ply.</w:t>
      </w:r>
    </w:p>
    <w:p w14:paraId="17D147A0" w14:textId="77777777" w:rsidR="003E7091" w:rsidRPr="003E7091" w:rsidRDefault="003E7091" w:rsidP="003E7091"/>
    <w:p w14:paraId="52B58556" w14:textId="77777777" w:rsidR="00A36FFD" w:rsidRPr="00443EAF" w:rsidRDefault="00A36FFD" w:rsidP="00D9453F">
      <w:pPr>
        <w:pStyle w:val="Subtitle"/>
        <w:rPr>
          <w:sz w:val="24"/>
          <w:u w:val="single"/>
        </w:rPr>
      </w:pPr>
      <w:r w:rsidRPr="00443EAF">
        <w:rPr>
          <w:sz w:val="24"/>
          <w:u w:val="single"/>
        </w:rPr>
        <w:t xml:space="preserve">Licence </w:t>
      </w:r>
      <w:r w:rsidR="004762F3">
        <w:rPr>
          <w:sz w:val="24"/>
          <w:u w:val="single"/>
        </w:rPr>
        <w:t>Exempt Distribution N</w:t>
      </w:r>
      <w:r w:rsidRPr="00443EAF">
        <w:rPr>
          <w:sz w:val="24"/>
          <w:u w:val="single"/>
        </w:rPr>
        <w:t xml:space="preserve">etworks </w:t>
      </w:r>
    </w:p>
    <w:p w14:paraId="18C927A2" w14:textId="77777777" w:rsidR="00A36FFD" w:rsidRPr="0069787F" w:rsidRDefault="002F3146" w:rsidP="00A36FFD">
      <w:pPr>
        <w:pStyle w:val="Default"/>
        <w:spacing w:after="273"/>
        <w:rPr>
          <w:rFonts w:asciiTheme="minorHAnsi" w:hAnsiTheme="minorHAnsi"/>
          <w:sz w:val="22"/>
          <w:szCs w:val="22"/>
        </w:rPr>
      </w:pPr>
      <w:r>
        <w:rPr>
          <w:rFonts w:asciiTheme="minorHAnsi" w:hAnsiTheme="minorHAnsi"/>
          <w:sz w:val="22"/>
          <w:szCs w:val="22"/>
        </w:rPr>
        <w:t>2.91</w:t>
      </w:r>
      <w:r w:rsidR="006B119E">
        <w:rPr>
          <w:rFonts w:asciiTheme="minorHAnsi" w:hAnsiTheme="minorHAnsi"/>
          <w:sz w:val="22"/>
          <w:szCs w:val="22"/>
        </w:rPr>
        <w:t xml:space="preserve">. </w:t>
      </w:r>
      <w:r w:rsidR="00A36FFD" w:rsidRPr="0069787F">
        <w:rPr>
          <w:rFonts w:asciiTheme="minorHAnsi" w:hAnsiTheme="minorHAnsi"/>
          <w:sz w:val="22"/>
          <w:szCs w:val="22"/>
        </w:rPr>
        <w:t xml:space="preserve">The Electricity and Gas (Internal Market) Regulations 2011 introduced new obligations on owners of licence exempt distribution networks (sometimes called private networks) including a duty to facilitate access to electricity and gas suppliers for customers within those networks. </w:t>
      </w:r>
    </w:p>
    <w:p w14:paraId="78024133" w14:textId="77777777" w:rsidR="00A36FFD" w:rsidRPr="0069787F" w:rsidRDefault="006B119E" w:rsidP="00A36FFD">
      <w:pPr>
        <w:pStyle w:val="Default"/>
        <w:spacing w:after="273"/>
        <w:rPr>
          <w:rFonts w:asciiTheme="minorHAnsi" w:hAnsiTheme="minorHAnsi"/>
          <w:sz w:val="22"/>
          <w:szCs w:val="22"/>
        </w:rPr>
      </w:pPr>
      <w:r>
        <w:rPr>
          <w:rFonts w:asciiTheme="minorHAnsi" w:hAnsiTheme="minorHAnsi"/>
          <w:sz w:val="22"/>
          <w:szCs w:val="22"/>
        </w:rPr>
        <w:t>2.</w:t>
      </w:r>
      <w:r w:rsidR="002F3146">
        <w:rPr>
          <w:rFonts w:asciiTheme="minorHAnsi" w:hAnsiTheme="minorHAnsi"/>
          <w:sz w:val="22"/>
          <w:szCs w:val="22"/>
        </w:rPr>
        <w:t>92</w:t>
      </w:r>
      <w:r>
        <w:rPr>
          <w:rFonts w:asciiTheme="minorHAnsi" w:hAnsiTheme="minorHAnsi"/>
          <w:sz w:val="22"/>
          <w:szCs w:val="22"/>
        </w:rPr>
        <w:t xml:space="preserve">. </w:t>
      </w:r>
      <w:r w:rsidR="00A36FFD" w:rsidRPr="0069787F">
        <w:rPr>
          <w:rFonts w:asciiTheme="minorHAnsi" w:hAnsiTheme="minorHAnsi"/>
          <w:sz w:val="22"/>
          <w:szCs w:val="22"/>
        </w:rPr>
        <w:t xml:space="preserve">When customers (both domestic and commercial) are located within an exempt distribution network and require the ability to choose their own supplier this is called ‘third party access’. These embedded customers will require an MPAN so that they can have their electricity supplied by a Supplier of their choice. </w:t>
      </w:r>
    </w:p>
    <w:p w14:paraId="098C2915" w14:textId="77777777" w:rsidR="00A36FFD" w:rsidRPr="0069787F" w:rsidRDefault="002F3146" w:rsidP="00A36FFD">
      <w:pPr>
        <w:pStyle w:val="Default"/>
        <w:spacing w:after="273"/>
        <w:rPr>
          <w:rFonts w:asciiTheme="minorHAnsi" w:hAnsiTheme="minorHAnsi"/>
          <w:sz w:val="22"/>
          <w:szCs w:val="22"/>
        </w:rPr>
      </w:pPr>
      <w:r>
        <w:rPr>
          <w:rFonts w:asciiTheme="minorHAnsi" w:hAnsiTheme="minorHAnsi"/>
          <w:sz w:val="22"/>
          <w:szCs w:val="22"/>
        </w:rPr>
        <w:t>2.93</w:t>
      </w:r>
      <w:r w:rsidR="006B119E">
        <w:rPr>
          <w:rFonts w:asciiTheme="minorHAnsi" w:hAnsiTheme="minorHAnsi"/>
          <w:sz w:val="22"/>
          <w:szCs w:val="22"/>
        </w:rPr>
        <w:t xml:space="preserve">. </w:t>
      </w:r>
      <w:r w:rsidR="00A36FFD" w:rsidRPr="0069787F">
        <w:rPr>
          <w:rFonts w:asciiTheme="minorHAnsi" w:hAnsiTheme="minorHAnsi"/>
          <w:sz w:val="22"/>
          <w:szCs w:val="22"/>
        </w:rPr>
        <w:t xml:space="preserve">Licence exempt distribution networks owners can provide third party access using either full settlement metering or the difference metering approach. </w:t>
      </w:r>
    </w:p>
    <w:p w14:paraId="6110BF4D" w14:textId="77777777" w:rsidR="00A36FFD" w:rsidRDefault="00A36FFD" w:rsidP="00A36FFD">
      <w:pPr>
        <w:pStyle w:val="Default"/>
        <w:rPr>
          <w:sz w:val="22"/>
          <w:szCs w:val="22"/>
        </w:rPr>
      </w:pPr>
    </w:p>
    <w:p w14:paraId="5A87E169" w14:textId="77777777" w:rsidR="00A36FFD" w:rsidRPr="00443EAF" w:rsidRDefault="00A36FFD" w:rsidP="00443EAF">
      <w:pPr>
        <w:pStyle w:val="Subtitle"/>
        <w:rPr>
          <w:sz w:val="24"/>
          <w:u w:val="single"/>
        </w:rPr>
      </w:pPr>
      <w:r w:rsidRPr="00443EAF">
        <w:rPr>
          <w:sz w:val="24"/>
          <w:u w:val="single"/>
        </w:rPr>
        <w:t xml:space="preserve">Full settlement metering </w:t>
      </w:r>
    </w:p>
    <w:p w14:paraId="29DF5D53" w14:textId="77777777" w:rsidR="00A36FFD" w:rsidRPr="0069787F" w:rsidRDefault="002F3146" w:rsidP="00A36FFD">
      <w:pPr>
        <w:pStyle w:val="Default"/>
        <w:rPr>
          <w:rFonts w:asciiTheme="minorHAnsi" w:hAnsiTheme="minorHAnsi"/>
          <w:sz w:val="22"/>
          <w:szCs w:val="22"/>
        </w:rPr>
      </w:pPr>
      <w:r>
        <w:rPr>
          <w:rFonts w:asciiTheme="minorHAnsi" w:hAnsiTheme="minorHAnsi"/>
          <w:sz w:val="22"/>
          <w:szCs w:val="22"/>
        </w:rPr>
        <w:t>2.94</w:t>
      </w:r>
      <w:r w:rsidR="006B119E">
        <w:rPr>
          <w:rFonts w:asciiTheme="minorHAnsi" w:hAnsiTheme="minorHAnsi"/>
          <w:sz w:val="22"/>
          <w:szCs w:val="22"/>
        </w:rPr>
        <w:t xml:space="preserve">. </w:t>
      </w:r>
      <w:r w:rsidR="00A36FFD" w:rsidRPr="0069787F">
        <w:rPr>
          <w:rFonts w:asciiTheme="minorHAnsi" w:hAnsiTheme="minorHAnsi"/>
          <w:sz w:val="22"/>
          <w:szCs w:val="22"/>
        </w:rPr>
        <w:t xml:space="preserve">This is where a licence exempt distribution network is set up so that each embedded installation has an MPAN and Metering System and therefore all customers purchase electricity from their chosen Supplier. In this case there are no Settlement Metering Systems at the boundary between the licensed Distribution System and the exempt distribution network. </w:t>
      </w:r>
    </w:p>
    <w:p w14:paraId="790C0D5E" w14:textId="77777777" w:rsidR="00D9453F" w:rsidRPr="0069787F" w:rsidRDefault="00D9453F" w:rsidP="00A36FFD">
      <w:pPr>
        <w:pStyle w:val="Default"/>
        <w:rPr>
          <w:rFonts w:asciiTheme="minorHAnsi" w:hAnsiTheme="minorHAnsi"/>
          <w:color w:val="auto"/>
          <w:sz w:val="22"/>
          <w:szCs w:val="22"/>
        </w:rPr>
      </w:pPr>
    </w:p>
    <w:p w14:paraId="5E69D5A5" w14:textId="77777777" w:rsidR="00A36FFD" w:rsidRDefault="006B119E" w:rsidP="00A36FFD">
      <w:pPr>
        <w:pStyle w:val="Default"/>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95</w:t>
      </w:r>
      <w:r>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In this approach our UoS charges will be applied to each MPAN. </w:t>
      </w:r>
    </w:p>
    <w:p w14:paraId="1D35F695" w14:textId="77777777" w:rsidR="004762F3" w:rsidRPr="0069787F" w:rsidRDefault="004762F3" w:rsidP="00A36FFD">
      <w:pPr>
        <w:pStyle w:val="Default"/>
        <w:rPr>
          <w:rFonts w:asciiTheme="minorHAnsi" w:hAnsiTheme="minorHAnsi"/>
          <w:color w:val="auto"/>
          <w:sz w:val="22"/>
          <w:szCs w:val="22"/>
        </w:rPr>
      </w:pPr>
    </w:p>
    <w:p w14:paraId="3A416B3A" w14:textId="77777777" w:rsidR="00A36FFD" w:rsidRPr="00443EAF" w:rsidRDefault="00A36FFD" w:rsidP="00443EAF">
      <w:pPr>
        <w:pStyle w:val="Subtitle"/>
        <w:rPr>
          <w:sz w:val="24"/>
          <w:u w:val="single"/>
        </w:rPr>
      </w:pPr>
      <w:r w:rsidRPr="00443EAF">
        <w:rPr>
          <w:sz w:val="24"/>
          <w:u w:val="single"/>
        </w:rPr>
        <w:t xml:space="preserve">Difference metering </w:t>
      </w:r>
    </w:p>
    <w:p w14:paraId="7ABB5347" w14:textId="77777777" w:rsidR="00A36FFD" w:rsidRPr="0069787F" w:rsidRDefault="00EA2CED" w:rsidP="00A36FFD">
      <w:pPr>
        <w:pStyle w:val="Default"/>
        <w:spacing w:after="273"/>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96</w:t>
      </w:r>
      <w:r w:rsidR="006B119E">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This is where one or more, but not all, customers on a licence exempt distribution network choose their own Supplier for electricity supply to their premise. Under this approach the customers requiring third party access on the exempt distribution network will have their own MPAN and must have a HH Metering System. </w:t>
      </w:r>
    </w:p>
    <w:p w14:paraId="7F76C85F" w14:textId="77777777" w:rsidR="00A36FFD" w:rsidRPr="0069787F" w:rsidRDefault="006B119E" w:rsidP="00A36FFD">
      <w:pPr>
        <w:pStyle w:val="Default"/>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97</w:t>
      </w:r>
      <w:r>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Unless agreed otherwise, our UoS charges will be applied using gross settlement/net settlement or both. </w:t>
      </w:r>
    </w:p>
    <w:p w14:paraId="0AF1CED7" w14:textId="77777777" w:rsidR="00A36FFD" w:rsidRDefault="00A36FFD" w:rsidP="00A36FFD">
      <w:pPr>
        <w:pStyle w:val="Default"/>
        <w:rPr>
          <w:color w:val="auto"/>
          <w:sz w:val="22"/>
          <w:szCs w:val="22"/>
        </w:rPr>
      </w:pPr>
    </w:p>
    <w:p w14:paraId="7998B7FD" w14:textId="77777777" w:rsidR="00A36FFD" w:rsidRPr="00443EAF" w:rsidRDefault="004762F3" w:rsidP="00443EAF">
      <w:pPr>
        <w:pStyle w:val="Subtitle"/>
        <w:rPr>
          <w:u w:val="single"/>
        </w:rPr>
      </w:pPr>
      <w:r>
        <w:rPr>
          <w:sz w:val="24"/>
          <w:u w:val="single"/>
        </w:rPr>
        <w:t>Gross S</w:t>
      </w:r>
      <w:r w:rsidR="00A36FFD" w:rsidRPr="00443EAF">
        <w:rPr>
          <w:sz w:val="24"/>
          <w:u w:val="single"/>
        </w:rPr>
        <w:t xml:space="preserve">ettlement </w:t>
      </w:r>
    </w:p>
    <w:p w14:paraId="72D7535A" w14:textId="77777777" w:rsidR="00A36FFD" w:rsidRPr="0069787F" w:rsidRDefault="00EA2CED" w:rsidP="00A36FFD">
      <w:pPr>
        <w:pStyle w:val="Default"/>
        <w:spacing w:after="274"/>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98</w:t>
      </w:r>
      <w:r w:rsidR="006B119E">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Where one of our MPANs (29) is embedded within a licence exempt distribution network connected to our Distribution System, and difference metering is in place for Settlement purposes and we receive gross measurement data for the boundary MPAN, we will continue to charge the boundary MPAN Supplier for use of our Distribution System. No charges will be levied by us directly to the Customer or Supplier of the embedded MPAN(s) connected within the licence exempt distribution network. </w:t>
      </w:r>
    </w:p>
    <w:p w14:paraId="49A59A02" w14:textId="77777777" w:rsidR="00A36FFD" w:rsidRPr="0069787F" w:rsidRDefault="00EA2CED" w:rsidP="00A36FFD">
      <w:pPr>
        <w:pStyle w:val="Default"/>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99</w:t>
      </w:r>
      <w:r w:rsidR="006B119E">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We require that gross metered data for the boundary of the connection is provided to us. Until a new industry data flow is introduced for the sending of such gross data, gross metered data shall: </w:t>
      </w:r>
    </w:p>
    <w:p w14:paraId="7112115F" w14:textId="77777777" w:rsidR="00A36FFD" w:rsidRPr="0069787F" w:rsidRDefault="00A36FFD" w:rsidP="00A36FFD">
      <w:pPr>
        <w:pStyle w:val="Default"/>
        <w:rPr>
          <w:rFonts w:asciiTheme="minorHAnsi" w:hAnsiTheme="minorHAnsi"/>
          <w:color w:val="auto"/>
          <w:sz w:val="22"/>
          <w:szCs w:val="22"/>
        </w:rPr>
      </w:pPr>
    </w:p>
    <w:p w14:paraId="5D3150C3" w14:textId="77777777" w:rsidR="00A36FFD" w:rsidRPr="0069787F" w:rsidRDefault="00A36FFD" w:rsidP="00A36FFD">
      <w:pPr>
        <w:pStyle w:val="Default"/>
        <w:numPr>
          <w:ilvl w:val="0"/>
          <w:numId w:val="8"/>
        </w:numPr>
        <w:spacing w:after="271"/>
        <w:rPr>
          <w:rFonts w:asciiTheme="minorHAnsi" w:hAnsiTheme="minorHAnsi"/>
          <w:color w:val="auto"/>
          <w:sz w:val="22"/>
          <w:szCs w:val="22"/>
        </w:rPr>
      </w:pPr>
      <w:r w:rsidRPr="0069787F">
        <w:rPr>
          <w:rFonts w:asciiTheme="minorHAnsi" w:hAnsiTheme="minorHAnsi"/>
          <w:color w:val="auto"/>
          <w:sz w:val="22"/>
          <w:szCs w:val="22"/>
        </w:rPr>
        <w:t xml:space="preserve">be provided in a text file in the format of the D0036 MRA data flow; </w:t>
      </w:r>
    </w:p>
    <w:p w14:paraId="47F42E5E" w14:textId="77777777" w:rsidR="00A36FFD" w:rsidRPr="0069787F" w:rsidRDefault="00A36FFD" w:rsidP="00A36FFD">
      <w:pPr>
        <w:pStyle w:val="Default"/>
        <w:numPr>
          <w:ilvl w:val="0"/>
          <w:numId w:val="8"/>
        </w:numPr>
        <w:spacing w:after="271"/>
        <w:rPr>
          <w:rFonts w:asciiTheme="minorHAnsi" w:hAnsiTheme="minorHAnsi"/>
          <w:color w:val="auto"/>
          <w:sz w:val="22"/>
          <w:szCs w:val="22"/>
        </w:rPr>
      </w:pPr>
      <w:r w:rsidRPr="0069787F">
        <w:rPr>
          <w:rFonts w:asciiTheme="minorHAnsi" w:hAnsiTheme="minorHAnsi"/>
          <w:color w:val="auto"/>
          <w:sz w:val="22"/>
          <w:szCs w:val="22"/>
        </w:rPr>
        <w:t xml:space="preserve">the text file shall be emailed to </w:t>
      </w:r>
      <w:r w:rsidR="00242D78">
        <w:rPr>
          <w:rFonts w:asciiTheme="minorHAnsi" w:hAnsiTheme="minorHAnsi"/>
          <w:color w:val="auto"/>
          <w:sz w:val="22"/>
          <w:szCs w:val="22"/>
        </w:rPr>
        <w:t>info@harlaxtonenergynetworks.com</w:t>
      </w:r>
    </w:p>
    <w:p w14:paraId="7DA3AAB4" w14:textId="77777777" w:rsidR="00A36FFD" w:rsidRPr="0069787F" w:rsidRDefault="00A36FFD" w:rsidP="00A36FFD">
      <w:pPr>
        <w:pStyle w:val="Default"/>
        <w:numPr>
          <w:ilvl w:val="0"/>
          <w:numId w:val="8"/>
        </w:numPr>
        <w:spacing w:after="271"/>
        <w:rPr>
          <w:rFonts w:asciiTheme="minorHAnsi" w:hAnsiTheme="minorHAnsi"/>
          <w:color w:val="auto"/>
          <w:sz w:val="22"/>
          <w:szCs w:val="22"/>
        </w:rPr>
      </w:pPr>
      <w:r w:rsidRPr="0069787F">
        <w:rPr>
          <w:rFonts w:asciiTheme="minorHAnsi" w:hAnsiTheme="minorHAnsi"/>
          <w:color w:val="auto"/>
          <w:sz w:val="22"/>
          <w:szCs w:val="22"/>
        </w:rPr>
        <w:t xml:space="preserve">the title of the email should also contain the phrase “gross data for difference metered private network”. </w:t>
      </w:r>
    </w:p>
    <w:p w14:paraId="0AD8C470" w14:textId="77777777" w:rsidR="00A36FFD" w:rsidRDefault="00A36FFD" w:rsidP="00A36FFD">
      <w:pPr>
        <w:pStyle w:val="Default"/>
        <w:numPr>
          <w:ilvl w:val="0"/>
          <w:numId w:val="8"/>
        </w:numPr>
        <w:spacing w:after="271"/>
        <w:rPr>
          <w:rFonts w:asciiTheme="minorHAnsi" w:hAnsiTheme="minorHAnsi"/>
          <w:color w:val="auto"/>
          <w:sz w:val="22"/>
          <w:szCs w:val="22"/>
        </w:rPr>
      </w:pPr>
      <w:r w:rsidRPr="0069787F">
        <w:rPr>
          <w:rFonts w:asciiTheme="minorHAnsi" w:hAnsiTheme="minorHAnsi"/>
          <w:color w:val="auto"/>
          <w:sz w:val="22"/>
          <w:szCs w:val="22"/>
        </w:rPr>
        <w:t xml:space="preserve">the text file and the title of the email shall contain the metering reference specified by us in place of the Settlement MPAN, i.e. a dummy alphanumeric reference to enable the relating of the gross metered data to a given boundary MPAN; </w:t>
      </w:r>
    </w:p>
    <w:p w14:paraId="38F4B8B5" w14:textId="77777777" w:rsidR="00A36FFD" w:rsidRPr="0069787F" w:rsidRDefault="00A36FFD" w:rsidP="00A36FFD">
      <w:pPr>
        <w:pStyle w:val="Default"/>
        <w:numPr>
          <w:ilvl w:val="0"/>
          <w:numId w:val="8"/>
        </w:numPr>
        <w:rPr>
          <w:rFonts w:asciiTheme="minorHAnsi" w:hAnsiTheme="minorHAnsi"/>
          <w:color w:val="auto"/>
          <w:sz w:val="22"/>
          <w:szCs w:val="22"/>
        </w:rPr>
      </w:pPr>
      <w:r w:rsidRPr="0069787F">
        <w:rPr>
          <w:rFonts w:asciiTheme="minorHAnsi" w:hAnsiTheme="minorHAnsi"/>
          <w:color w:val="auto"/>
          <w:sz w:val="22"/>
          <w:szCs w:val="22"/>
        </w:rPr>
        <w:t xml:space="preserve">the text filename shall be formed of the metering reference specified by us followed by a hyphen and followed by a timestamp in the format YYYYMMDDHHMMSS and followed by “.txt”; and </w:t>
      </w:r>
    </w:p>
    <w:p w14:paraId="1F5EBE30" w14:textId="77777777" w:rsidR="00D9453F" w:rsidRPr="0069787F" w:rsidRDefault="00D9453F" w:rsidP="00A36FFD">
      <w:pPr>
        <w:pStyle w:val="Default"/>
        <w:rPr>
          <w:rFonts w:asciiTheme="minorHAnsi" w:hAnsiTheme="minorHAnsi"/>
          <w:color w:val="auto"/>
          <w:sz w:val="22"/>
          <w:szCs w:val="22"/>
        </w:rPr>
      </w:pPr>
    </w:p>
    <w:p w14:paraId="10B30764" w14:textId="77777777" w:rsidR="00A36FFD" w:rsidRPr="0069787F" w:rsidRDefault="00AD2638" w:rsidP="00A36FFD">
      <w:pPr>
        <w:pStyle w:val="Default"/>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100</w:t>
      </w:r>
      <w:r>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For the avoidance of doubt, the reduced difference metered measurement data for the boundary connection that is to enter Settlement should continue to be sent using the Settlement MPAN. </w:t>
      </w:r>
    </w:p>
    <w:p w14:paraId="3F2F3389" w14:textId="77777777" w:rsidR="00A36FFD" w:rsidRDefault="00A36FFD" w:rsidP="00443EAF">
      <w:pPr>
        <w:pStyle w:val="Subtitle"/>
      </w:pPr>
    </w:p>
    <w:p w14:paraId="10D8EF0E" w14:textId="77777777" w:rsidR="00A36FFD" w:rsidRPr="00443EAF" w:rsidRDefault="00A36FFD" w:rsidP="00443EAF">
      <w:pPr>
        <w:pStyle w:val="Subtitle"/>
        <w:rPr>
          <w:sz w:val="24"/>
          <w:u w:val="single"/>
        </w:rPr>
      </w:pPr>
      <w:r w:rsidRPr="00443EAF">
        <w:rPr>
          <w:bCs/>
          <w:sz w:val="24"/>
          <w:u w:val="single"/>
        </w:rPr>
        <w:t xml:space="preserve">Net Settlement </w:t>
      </w:r>
    </w:p>
    <w:p w14:paraId="6D57AF38" w14:textId="77777777" w:rsidR="00A36FFD" w:rsidRPr="0069787F" w:rsidRDefault="00AD2638" w:rsidP="00A36FFD">
      <w:pPr>
        <w:pStyle w:val="Default"/>
        <w:spacing w:after="273"/>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101</w:t>
      </w:r>
      <w:r>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Where one of our MPANs (29) is embedded within a licence exempt distribution network connected to one of our distribution systems, and difference metering is in place for Settlement purposes, and we do </w:t>
      </w:r>
      <w:r w:rsidR="00A36FFD" w:rsidRPr="0069787F">
        <w:rPr>
          <w:rFonts w:asciiTheme="minorHAnsi" w:hAnsiTheme="minorHAnsi"/>
          <w:b/>
          <w:bCs/>
          <w:color w:val="auto"/>
          <w:sz w:val="22"/>
          <w:szCs w:val="22"/>
        </w:rPr>
        <w:t xml:space="preserve">not </w:t>
      </w:r>
      <w:r w:rsidR="00A36FFD" w:rsidRPr="0069787F">
        <w:rPr>
          <w:rFonts w:asciiTheme="minorHAnsi" w:hAnsiTheme="minorHAnsi"/>
          <w:color w:val="auto"/>
          <w:sz w:val="22"/>
          <w:szCs w:val="22"/>
        </w:rPr>
        <w:t xml:space="preserve">receive gross measurement data for the boundary MPAN, we will charge the boundary MPAN Supplier based on the net measurement for use of our Distribution System. Charges will also be levied directly to the Supplier of the embedded MPAN(s) connected within the licence exempt distribution network based on the actual data received. </w:t>
      </w:r>
    </w:p>
    <w:p w14:paraId="57E9EDF4" w14:textId="77777777" w:rsidR="00A36FFD" w:rsidRDefault="00AD2638" w:rsidP="00D9453F">
      <w:pPr>
        <w:pStyle w:val="Default"/>
        <w:rPr>
          <w:rFonts w:asciiTheme="minorHAnsi" w:hAnsiTheme="minorHAnsi"/>
          <w:color w:val="auto"/>
          <w:sz w:val="22"/>
          <w:szCs w:val="22"/>
        </w:rPr>
      </w:pPr>
      <w:r>
        <w:rPr>
          <w:rFonts w:asciiTheme="minorHAnsi" w:hAnsiTheme="minorHAnsi"/>
          <w:color w:val="auto"/>
          <w:sz w:val="22"/>
          <w:szCs w:val="22"/>
        </w:rPr>
        <w:t>2.</w:t>
      </w:r>
      <w:r w:rsidR="002F3146">
        <w:rPr>
          <w:rFonts w:asciiTheme="minorHAnsi" w:hAnsiTheme="minorHAnsi"/>
          <w:color w:val="auto"/>
          <w:sz w:val="22"/>
          <w:szCs w:val="22"/>
        </w:rPr>
        <w:t>102</w:t>
      </w:r>
      <w:r>
        <w:rPr>
          <w:rFonts w:asciiTheme="minorHAnsi" w:hAnsiTheme="minorHAnsi"/>
          <w:color w:val="auto"/>
          <w:sz w:val="22"/>
          <w:szCs w:val="22"/>
        </w:rPr>
        <w:t xml:space="preserve">. </w:t>
      </w:r>
      <w:r w:rsidR="00A36FFD" w:rsidRPr="0069787F">
        <w:rPr>
          <w:rFonts w:asciiTheme="minorHAnsi" w:hAnsiTheme="minorHAnsi"/>
          <w:color w:val="auto"/>
          <w:sz w:val="22"/>
          <w:szCs w:val="22"/>
        </w:rPr>
        <w:t xml:space="preserve">The charges applicable for an embedded MPAN are unit charges only. These will be the same values as those at the voltage of connection to the licence exempt distribution network and are shown in Annex n. The fixed charge and capacity charge, at the agreed MIC/MEC of the boundary MPAN, will be charged to the boundary MPAN supplier. </w:t>
      </w:r>
    </w:p>
    <w:p w14:paraId="445A9829" w14:textId="77777777" w:rsidR="008D0F41" w:rsidRDefault="008D0F41" w:rsidP="00D9453F">
      <w:pPr>
        <w:pStyle w:val="Default"/>
        <w:rPr>
          <w:rFonts w:asciiTheme="minorHAnsi" w:hAnsiTheme="minorHAnsi"/>
          <w:color w:val="auto"/>
          <w:sz w:val="22"/>
          <w:szCs w:val="22"/>
        </w:rPr>
      </w:pPr>
    </w:p>
    <w:p w14:paraId="628C33A9" w14:textId="77777777" w:rsidR="00B562C4" w:rsidRDefault="00B562C4" w:rsidP="00D9453F">
      <w:pPr>
        <w:pStyle w:val="Default"/>
        <w:rPr>
          <w:rFonts w:asciiTheme="minorHAnsi" w:hAnsiTheme="minorHAnsi"/>
          <w:color w:val="auto"/>
          <w:sz w:val="22"/>
          <w:szCs w:val="22"/>
        </w:rPr>
      </w:pPr>
    </w:p>
    <w:p w14:paraId="37A6C146" w14:textId="77777777" w:rsidR="00B562C4" w:rsidRDefault="00B562C4" w:rsidP="00D9453F">
      <w:pPr>
        <w:pStyle w:val="Default"/>
        <w:rPr>
          <w:rFonts w:asciiTheme="minorHAnsi" w:hAnsiTheme="minorHAnsi"/>
          <w:color w:val="auto"/>
          <w:sz w:val="22"/>
          <w:szCs w:val="22"/>
        </w:rPr>
      </w:pPr>
    </w:p>
    <w:p w14:paraId="13515CF8" w14:textId="77777777" w:rsidR="002F3146" w:rsidRDefault="002F3146" w:rsidP="00D9453F">
      <w:pPr>
        <w:pStyle w:val="Default"/>
        <w:rPr>
          <w:rFonts w:asciiTheme="minorHAnsi" w:hAnsiTheme="minorHAnsi"/>
          <w:color w:val="auto"/>
          <w:sz w:val="22"/>
          <w:szCs w:val="22"/>
        </w:rPr>
      </w:pPr>
    </w:p>
    <w:p w14:paraId="336854F6" w14:textId="77777777" w:rsidR="006E59DC" w:rsidRDefault="006E59DC" w:rsidP="00D9453F">
      <w:pPr>
        <w:pStyle w:val="Default"/>
        <w:rPr>
          <w:rFonts w:asciiTheme="minorHAnsi" w:hAnsiTheme="minorHAnsi"/>
          <w:color w:val="auto"/>
          <w:sz w:val="22"/>
          <w:szCs w:val="22"/>
        </w:rPr>
      </w:pPr>
    </w:p>
    <w:p w14:paraId="4490240E" w14:textId="77777777" w:rsidR="002F3146" w:rsidRDefault="002F3146" w:rsidP="00D9453F">
      <w:pPr>
        <w:pStyle w:val="Default"/>
        <w:rPr>
          <w:rFonts w:asciiTheme="minorHAnsi" w:hAnsiTheme="minorHAnsi"/>
          <w:color w:val="auto"/>
          <w:sz w:val="22"/>
          <w:szCs w:val="22"/>
        </w:rPr>
      </w:pPr>
    </w:p>
    <w:p w14:paraId="4F70B35B" w14:textId="77777777" w:rsidR="00992381" w:rsidRDefault="00992381" w:rsidP="00D9453F">
      <w:pPr>
        <w:pStyle w:val="Default"/>
        <w:rPr>
          <w:rFonts w:asciiTheme="minorHAnsi" w:hAnsiTheme="minorHAnsi"/>
          <w:color w:val="auto"/>
          <w:sz w:val="22"/>
          <w:szCs w:val="22"/>
        </w:rPr>
      </w:pPr>
    </w:p>
    <w:p w14:paraId="319D8DA4" w14:textId="77777777" w:rsidR="00992381" w:rsidRDefault="00992381" w:rsidP="00D9453F">
      <w:pPr>
        <w:pStyle w:val="Default"/>
        <w:rPr>
          <w:rFonts w:asciiTheme="minorHAnsi" w:hAnsiTheme="minorHAnsi"/>
          <w:color w:val="auto"/>
          <w:sz w:val="22"/>
          <w:szCs w:val="22"/>
        </w:rPr>
      </w:pPr>
    </w:p>
    <w:p w14:paraId="68C3F9E3" w14:textId="77777777" w:rsidR="002F3146" w:rsidRDefault="002F3146" w:rsidP="00D9453F">
      <w:pPr>
        <w:pStyle w:val="Default"/>
        <w:rPr>
          <w:rFonts w:asciiTheme="minorHAnsi" w:hAnsiTheme="minorHAnsi"/>
          <w:color w:val="auto"/>
          <w:sz w:val="22"/>
          <w:szCs w:val="22"/>
        </w:rPr>
      </w:pPr>
    </w:p>
    <w:p w14:paraId="2AF43192" w14:textId="77777777" w:rsidR="00992381" w:rsidRDefault="00992381" w:rsidP="00D9453F">
      <w:pPr>
        <w:pStyle w:val="Default"/>
        <w:rPr>
          <w:rFonts w:asciiTheme="minorHAnsi" w:hAnsiTheme="minorHAnsi"/>
          <w:color w:val="auto"/>
          <w:sz w:val="22"/>
          <w:szCs w:val="22"/>
        </w:rPr>
      </w:pPr>
    </w:p>
    <w:p w14:paraId="0224A7AD" w14:textId="77777777" w:rsidR="00992381" w:rsidRDefault="00992381" w:rsidP="00D9453F">
      <w:pPr>
        <w:pStyle w:val="Default"/>
        <w:rPr>
          <w:rFonts w:asciiTheme="minorHAnsi" w:hAnsiTheme="minorHAnsi"/>
          <w:color w:val="auto"/>
          <w:sz w:val="22"/>
          <w:szCs w:val="22"/>
        </w:rPr>
      </w:pPr>
    </w:p>
    <w:p w14:paraId="53414926" w14:textId="77777777" w:rsidR="00992381" w:rsidRDefault="00992381" w:rsidP="00D9453F">
      <w:pPr>
        <w:pStyle w:val="Default"/>
        <w:rPr>
          <w:rFonts w:asciiTheme="minorHAnsi" w:hAnsiTheme="minorHAnsi"/>
          <w:color w:val="auto"/>
          <w:sz w:val="22"/>
          <w:szCs w:val="22"/>
        </w:rPr>
      </w:pPr>
    </w:p>
    <w:p w14:paraId="41565A46" w14:textId="77777777" w:rsidR="002F3146" w:rsidRDefault="002F3146" w:rsidP="00D9453F">
      <w:pPr>
        <w:pStyle w:val="Default"/>
        <w:rPr>
          <w:rFonts w:asciiTheme="minorHAnsi" w:hAnsiTheme="minorHAnsi"/>
          <w:color w:val="auto"/>
          <w:sz w:val="22"/>
          <w:szCs w:val="22"/>
        </w:rPr>
      </w:pPr>
    </w:p>
    <w:p w14:paraId="11F4EEFC" w14:textId="4953B283" w:rsidR="00140A36" w:rsidRPr="00CD4EDF" w:rsidRDefault="004245F6" w:rsidP="00D9453F">
      <w:pPr>
        <w:pStyle w:val="Heading1"/>
      </w:pPr>
      <w:bookmarkStart w:id="5" w:name="_Toc426117206"/>
      <w:r>
        <w:t>3.</w:t>
      </w:r>
      <w:r>
        <w:tab/>
      </w:r>
      <w:r w:rsidR="00140A36" w:rsidRPr="00D9453F">
        <w:rPr>
          <w:u w:val="single"/>
        </w:rPr>
        <w:t>Schedule of Charges for Use of the Distribution</w:t>
      </w:r>
      <w:r w:rsidR="00992381">
        <w:rPr>
          <w:u w:val="single"/>
        </w:rPr>
        <w:t xml:space="preserve"> </w:t>
      </w:r>
      <w:r w:rsidR="00140A36" w:rsidRPr="00D9453F">
        <w:rPr>
          <w:u w:val="single"/>
        </w:rPr>
        <w:t>System</w:t>
      </w:r>
      <w:bookmarkEnd w:id="5"/>
    </w:p>
    <w:p w14:paraId="7C80F0B1" w14:textId="77777777" w:rsidR="000A5D73" w:rsidRPr="00CD4EDF" w:rsidRDefault="000A5D73" w:rsidP="00140A36">
      <w:pPr>
        <w:autoSpaceDE w:val="0"/>
        <w:autoSpaceDN w:val="0"/>
        <w:adjustRightInd w:val="0"/>
        <w:spacing w:after="0" w:line="240" w:lineRule="auto"/>
        <w:rPr>
          <w:rFonts w:ascii="Book Antiqua" w:hAnsi="Book Antiqua" w:cs="Helvetica"/>
          <w:color w:val="000000"/>
          <w:sz w:val="20"/>
          <w:szCs w:val="20"/>
        </w:rPr>
      </w:pPr>
    </w:p>
    <w:p w14:paraId="799EAA83" w14:textId="77777777" w:rsidR="00140A36" w:rsidRPr="0069787F" w:rsidRDefault="00AD2638" w:rsidP="00140A36">
      <w:pPr>
        <w:autoSpaceDE w:val="0"/>
        <w:autoSpaceDN w:val="0"/>
        <w:adjustRightInd w:val="0"/>
        <w:spacing w:after="0" w:line="240" w:lineRule="auto"/>
        <w:rPr>
          <w:rFonts w:cs="Helvetica"/>
          <w:color w:val="000000"/>
          <w:szCs w:val="20"/>
        </w:rPr>
      </w:pPr>
      <w:r>
        <w:rPr>
          <w:rFonts w:cs="Helvetica"/>
          <w:color w:val="000000"/>
          <w:szCs w:val="20"/>
        </w:rPr>
        <w:t xml:space="preserve">3.1. </w:t>
      </w:r>
      <w:r w:rsidR="00140A36" w:rsidRPr="0069787F">
        <w:rPr>
          <w:rFonts w:cs="Helvetica"/>
          <w:color w:val="000000"/>
          <w:szCs w:val="20"/>
        </w:rPr>
        <w:t>Tables listing the charges for the distribution of electricity under UoS are published in the</w:t>
      </w:r>
      <w:r w:rsidR="004245F6" w:rsidRPr="0069787F">
        <w:rPr>
          <w:rFonts w:cs="Helvetica"/>
          <w:color w:val="000000"/>
          <w:szCs w:val="20"/>
        </w:rPr>
        <w:t xml:space="preserve"> </w:t>
      </w:r>
      <w:r w:rsidR="00140A36" w:rsidRPr="0069787F">
        <w:rPr>
          <w:rFonts w:cs="Helvetica"/>
          <w:color w:val="000000"/>
          <w:szCs w:val="20"/>
        </w:rPr>
        <w:t>annexes to this document.</w:t>
      </w:r>
    </w:p>
    <w:p w14:paraId="5700594D" w14:textId="77777777"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14:paraId="436EC699" w14:textId="748482C7" w:rsidR="00140A36" w:rsidRPr="0069787F" w:rsidRDefault="00AD2638" w:rsidP="00210527">
      <w:pPr>
        <w:autoSpaceDE w:val="0"/>
        <w:autoSpaceDN w:val="0"/>
        <w:adjustRightInd w:val="0"/>
        <w:spacing w:after="0" w:line="240" w:lineRule="auto"/>
        <w:rPr>
          <w:rFonts w:cs="Helvetica"/>
          <w:color w:val="0000FF"/>
          <w:szCs w:val="20"/>
        </w:rPr>
      </w:pPr>
      <w:r>
        <w:rPr>
          <w:rFonts w:cs="Helvetica"/>
          <w:color w:val="000000"/>
          <w:szCs w:val="20"/>
        </w:rPr>
        <w:t xml:space="preserve">3.2. </w:t>
      </w:r>
      <w:r w:rsidR="00140A36" w:rsidRPr="0069787F">
        <w:rPr>
          <w:rFonts w:cs="Helvetica"/>
          <w:color w:val="000000"/>
          <w:szCs w:val="20"/>
        </w:rPr>
        <w:t>Th</w:t>
      </w:r>
      <w:r w:rsidR="00456A9C">
        <w:rPr>
          <w:rFonts w:cs="Helvetica"/>
          <w:color w:val="000000"/>
          <w:szCs w:val="20"/>
        </w:rPr>
        <w:t>ese charges are also listed in</w:t>
      </w:r>
      <w:r w:rsidR="00140A36" w:rsidRPr="0069787F">
        <w:rPr>
          <w:rFonts w:cs="Helvetica"/>
          <w:color w:val="000000"/>
          <w:szCs w:val="20"/>
        </w:rPr>
        <w:t xml:space="preserve"> spreadsheet</w:t>
      </w:r>
      <w:r w:rsidR="00456A9C">
        <w:rPr>
          <w:rFonts w:cs="Helvetica"/>
          <w:color w:val="000000"/>
          <w:szCs w:val="20"/>
        </w:rPr>
        <w:t>s</w:t>
      </w:r>
      <w:r w:rsidR="00140A36" w:rsidRPr="0069787F">
        <w:rPr>
          <w:rFonts w:cs="Helvetica"/>
          <w:color w:val="000000"/>
          <w:szCs w:val="20"/>
        </w:rPr>
        <w:t xml:space="preserve"> which </w:t>
      </w:r>
      <w:r w:rsidR="00456A9C">
        <w:rPr>
          <w:rFonts w:cs="Helvetica"/>
          <w:color w:val="000000"/>
          <w:szCs w:val="20"/>
        </w:rPr>
        <w:t xml:space="preserve">are </w:t>
      </w:r>
      <w:r w:rsidR="00140A36" w:rsidRPr="0069787F">
        <w:rPr>
          <w:rFonts w:cs="Helvetica"/>
          <w:color w:val="000000"/>
          <w:szCs w:val="20"/>
        </w:rPr>
        <w:t>published with this statement and</w:t>
      </w:r>
      <w:r w:rsidR="004245F6" w:rsidRPr="0069787F">
        <w:rPr>
          <w:rFonts w:cs="Helvetica"/>
          <w:color w:val="000000"/>
          <w:szCs w:val="20"/>
        </w:rPr>
        <w:t xml:space="preserve"> </w:t>
      </w:r>
      <w:r w:rsidR="00140A36" w:rsidRPr="0069787F">
        <w:rPr>
          <w:rFonts w:cs="Helvetica"/>
          <w:color w:val="000000"/>
          <w:szCs w:val="20"/>
        </w:rPr>
        <w:t xml:space="preserve">can be downloaded from </w:t>
      </w:r>
      <w:hyperlink r:id="rId14" w:history="1">
        <w:r w:rsidR="004245F6" w:rsidRPr="0069787F">
          <w:rPr>
            <w:rStyle w:val="Hyperlink"/>
            <w:rFonts w:cs="Helvetica"/>
            <w:szCs w:val="20"/>
          </w:rPr>
          <w:t>http://harlaxtonenergynetworks.com</w:t>
        </w:r>
      </w:hyperlink>
      <w:r w:rsidR="004245F6" w:rsidRPr="0069787F">
        <w:rPr>
          <w:rFonts w:cs="Helvetica"/>
          <w:color w:val="0000FF"/>
          <w:szCs w:val="20"/>
        </w:rPr>
        <w:t xml:space="preserve"> </w:t>
      </w:r>
    </w:p>
    <w:p w14:paraId="0BC5BD71" w14:textId="77777777" w:rsidR="000A5D73" w:rsidRPr="004245F6" w:rsidRDefault="000A5D73" w:rsidP="00140A36">
      <w:pPr>
        <w:autoSpaceDE w:val="0"/>
        <w:autoSpaceDN w:val="0"/>
        <w:adjustRightInd w:val="0"/>
        <w:spacing w:after="0" w:line="240" w:lineRule="auto"/>
        <w:rPr>
          <w:rFonts w:ascii="Book Antiqua" w:hAnsi="Book Antiqua" w:cs="Helvetica"/>
          <w:color w:val="000000"/>
          <w:szCs w:val="20"/>
        </w:rPr>
      </w:pPr>
    </w:p>
    <w:p w14:paraId="3C015412" w14:textId="31FE20FC" w:rsidR="00140A36" w:rsidRPr="0069787F" w:rsidRDefault="00AD2638" w:rsidP="00140A36">
      <w:pPr>
        <w:autoSpaceDE w:val="0"/>
        <w:autoSpaceDN w:val="0"/>
        <w:adjustRightInd w:val="0"/>
        <w:spacing w:after="0" w:line="240" w:lineRule="auto"/>
        <w:rPr>
          <w:rFonts w:cs="Helvetica"/>
          <w:color w:val="000000"/>
          <w:szCs w:val="20"/>
        </w:rPr>
      </w:pPr>
      <w:r>
        <w:rPr>
          <w:rFonts w:cs="Helvetica"/>
          <w:color w:val="000000"/>
          <w:szCs w:val="20"/>
        </w:rPr>
        <w:t xml:space="preserve">3.3. </w:t>
      </w:r>
      <w:r w:rsidR="00140A36" w:rsidRPr="0069787F">
        <w:rPr>
          <w:rFonts w:cs="Helvetica"/>
          <w:color w:val="000000"/>
          <w:szCs w:val="20"/>
        </w:rPr>
        <w:t xml:space="preserve">Annex 1 contains charges </w:t>
      </w:r>
      <w:r w:rsidR="00456A9C">
        <w:rPr>
          <w:rFonts w:cs="Helvetica"/>
          <w:color w:val="000000"/>
          <w:szCs w:val="20"/>
        </w:rPr>
        <w:t xml:space="preserve">for </w:t>
      </w:r>
      <w:r w:rsidR="00140A36" w:rsidRPr="0069787F">
        <w:rPr>
          <w:rFonts w:cs="Helvetica"/>
          <w:color w:val="000000"/>
          <w:szCs w:val="20"/>
        </w:rPr>
        <w:t>LV and HV Properties.</w:t>
      </w:r>
    </w:p>
    <w:p w14:paraId="1A02FCF9" w14:textId="77777777" w:rsidR="000A5D73" w:rsidRPr="0069787F" w:rsidRDefault="000A5D73" w:rsidP="00140A36">
      <w:pPr>
        <w:autoSpaceDE w:val="0"/>
        <w:autoSpaceDN w:val="0"/>
        <w:adjustRightInd w:val="0"/>
        <w:spacing w:after="0" w:line="240" w:lineRule="auto"/>
        <w:rPr>
          <w:rFonts w:cs="Helvetica"/>
          <w:color w:val="000000"/>
          <w:szCs w:val="20"/>
        </w:rPr>
      </w:pPr>
    </w:p>
    <w:p w14:paraId="7FAFAC67" w14:textId="77777777" w:rsidR="005A519C" w:rsidRPr="005A519C" w:rsidRDefault="00AD2638" w:rsidP="005A519C">
      <w:pPr>
        <w:pStyle w:val="Default"/>
        <w:rPr>
          <w:rFonts w:asciiTheme="minorHAnsi" w:hAnsiTheme="minorHAnsi"/>
          <w:sz w:val="22"/>
          <w:szCs w:val="22"/>
        </w:rPr>
      </w:pPr>
      <w:r w:rsidRPr="005A519C">
        <w:rPr>
          <w:rFonts w:asciiTheme="minorHAnsi" w:hAnsiTheme="minorHAnsi" w:cs="Helvetica"/>
          <w:sz w:val="22"/>
          <w:szCs w:val="22"/>
        </w:rPr>
        <w:t xml:space="preserve">3.4. </w:t>
      </w:r>
      <w:r w:rsidR="005A519C" w:rsidRPr="005A519C">
        <w:rPr>
          <w:rFonts w:asciiTheme="minorHAnsi" w:hAnsiTheme="minorHAnsi"/>
          <w:sz w:val="22"/>
          <w:szCs w:val="22"/>
        </w:rPr>
        <w:t xml:space="preserve">Annex 2 contains the charges applied to our Designated EHV Properties and charges applied to LDNOs for Designated EHV Properties connected within their embedded Distribution System. </w:t>
      </w:r>
    </w:p>
    <w:p w14:paraId="1175E45B" w14:textId="77777777" w:rsidR="000A5D73" w:rsidRPr="0069787F" w:rsidRDefault="000A5D73" w:rsidP="00140A36">
      <w:pPr>
        <w:autoSpaceDE w:val="0"/>
        <w:autoSpaceDN w:val="0"/>
        <w:adjustRightInd w:val="0"/>
        <w:spacing w:after="0" w:line="240" w:lineRule="auto"/>
        <w:rPr>
          <w:rFonts w:cs="Helvetica"/>
          <w:color w:val="000000"/>
          <w:szCs w:val="20"/>
        </w:rPr>
      </w:pPr>
    </w:p>
    <w:p w14:paraId="72C63120" w14:textId="77777777" w:rsidR="00140A36" w:rsidRPr="0069787F" w:rsidRDefault="00AD2638" w:rsidP="00140A36">
      <w:pPr>
        <w:autoSpaceDE w:val="0"/>
        <w:autoSpaceDN w:val="0"/>
        <w:adjustRightInd w:val="0"/>
        <w:spacing w:after="0" w:line="240" w:lineRule="auto"/>
        <w:rPr>
          <w:rFonts w:cs="Helvetica"/>
          <w:color w:val="000000"/>
          <w:szCs w:val="20"/>
        </w:rPr>
      </w:pPr>
      <w:r>
        <w:rPr>
          <w:rFonts w:cs="Helvetica"/>
          <w:color w:val="000000"/>
          <w:szCs w:val="20"/>
        </w:rPr>
        <w:t xml:space="preserve">3.5. </w:t>
      </w:r>
      <w:r w:rsidR="00140A36" w:rsidRPr="0069787F">
        <w:rPr>
          <w:rFonts w:cs="Helvetica"/>
          <w:color w:val="000000"/>
          <w:szCs w:val="20"/>
        </w:rPr>
        <w:t>Annex 3</w:t>
      </w:r>
      <w:r w:rsidR="00140A36" w:rsidRPr="0069787F">
        <w:rPr>
          <w:rFonts w:cs="Helvetica"/>
          <w:color w:val="000000"/>
          <w:szCs w:val="20"/>
          <w:vertAlign w:val="superscript"/>
        </w:rPr>
        <w:t xml:space="preserve"> </w:t>
      </w:r>
      <w:r w:rsidR="00140A36" w:rsidRPr="0069787F">
        <w:rPr>
          <w:rFonts w:cs="Helvetica"/>
          <w:color w:val="000000"/>
          <w:szCs w:val="20"/>
        </w:rPr>
        <w:t>contains details of any preserved and additional charges that are valid at this time.</w:t>
      </w:r>
      <w:r w:rsidR="008474F5" w:rsidRPr="0069787F">
        <w:rPr>
          <w:rFonts w:cs="Helvetica"/>
          <w:color w:val="000000"/>
          <w:szCs w:val="20"/>
        </w:rPr>
        <w:t xml:space="preserve"> </w:t>
      </w:r>
      <w:r w:rsidR="00140A36" w:rsidRPr="0069787F">
        <w:rPr>
          <w:rFonts w:cs="Helvetica"/>
          <w:color w:val="000000"/>
          <w:szCs w:val="20"/>
        </w:rPr>
        <w:t>Preserved charges are mapped to an appropriate charge and are closed to new</w:t>
      </w:r>
      <w:r w:rsidR="008474F5" w:rsidRPr="0069787F">
        <w:rPr>
          <w:rFonts w:cs="Helvetica"/>
          <w:color w:val="000000"/>
          <w:szCs w:val="20"/>
        </w:rPr>
        <w:t xml:space="preserve"> </w:t>
      </w:r>
      <w:r w:rsidR="00210527" w:rsidRPr="0069787F">
        <w:rPr>
          <w:rFonts w:cs="Helvetica"/>
          <w:color w:val="000000"/>
          <w:szCs w:val="20"/>
        </w:rPr>
        <w:t xml:space="preserve">Customers. </w:t>
      </w:r>
    </w:p>
    <w:p w14:paraId="38579010" w14:textId="77777777" w:rsidR="000A5D73" w:rsidRPr="0069787F" w:rsidRDefault="000A5D73" w:rsidP="00140A36">
      <w:pPr>
        <w:autoSpaceDE w:val="0"/>
        <w:autoSpaceDN w:val="0"/>
        <w:adjustRightInd w:val="0"/>
        <w:spacing w:after="0" w:line="240" w:lineRule="auto"/>
        <w:rPr>
          <w:rFonts w:cs="Helvetica"/>
          <w:color w:val="000000"/>
          <w:szCs w:val="20"/>
        </w:rPr>
      </w:pPr>
    </w:p>
    <w:p w14:paraId="123E7DF9" w14:textId="77777777" w:rsidR="00E83037" w:rsidRPr="00E83037" w:rsidRDefault="00AD2638" w:rsidP="00E83037">
      <w:pPr>
        <w:pStyle w:val="Default"/>
        <w:rPr>
          <w:rFonts w:asciiTheme="minorHAnsi" w:hAnsiTheme="minorHAnsi"/>
          <w:sz w:val="22"/>
          <w:szCs w:val="22"/>
        </w:rPr>
      </w:pPr>
      <w:r w:rsidRPr="00E83037">
        <w:rPr>
          <w:rFonts w:asciiTheme="minorHAnsi" w:hAnsiTheme="minorHAnsi" w:cs="Helvetica"/>
          <w:sz w:val="22"/>
          <w:szCs w:val="22"/>
        </w:rPr>
        <w:t xml:space="preserve">3.6. </w:t>
      </w:r>
      <w:r w:rsidR="00E83037" w:rsidRPr="00E83037">
        <w:rPr>
          <w:rFonts w:asciiTheme="minorHAnsi" w:hAnsiTheme="minorHAnsi"/>
          <w:sz w:val="22"/>
          <w:szCs w:val="22"/>
        </w:rPr>
        <w:t xml:space="preserve">Annex 4 contains the charges applied to LDNOs in respect of LV and HV Designated Properties connected in their embedded Distribution System. </w:t>
      </w:r>
    </w:p>
    <w:p w14:paraId="027369DD" w14:textId="77777777" w:rsidR="00140A36" w:rsidRDefault="00140A36" w:rsidP="00140A36">
      <w:pPr>
        <w:autoSpaceDE w:val="0"/>
        <w:autoSpaceDN w:val="0"/>
        <w:adjustRightInd w:val="0"/>
        <w:spacing w:after="0" w:line="240" w:lineRule="auto"/>
        <w:rPr>
          <w:rFonts w:cs="Helvetica"/>
          <w:color w:val="000000"/>
          <w:szCs w:val="20"/>
        </w:rPr>
      </w:pPr>
    </w:p>
    <w:p w14:paraId="20B103CD" w14:textId="77777777" w:rsidR="00AD2638" w:rsidRDefault="00AD2638" w:rsidP="00140A36">
      <w:pPr>
        <w:autoSpaceDE w:val="0"/>
        <w:autoSpaceDN w:val="0"/>
        <w:adjustRightInd w:val="0"/>
        <w:spacing w:after="0" w:line="240" w:lineRule="auto"/>
        <w:rPr>
          <w:rFonts w:cs="Helvetica"/>
          <w:color w:val="000000"/>
          <w:szCs w:val="20"/>
        </w:rPr>
      </w:pPr>
    </w:p>
    <w:p w14:paraId="41EB9203" w14:textId="77777777" w:rsidR="00AD2638" w:rsidRDefault="00AD2638" w:rsidP="00140A36">
      <w:pPr>
        <w:autoSpaceDE w:val="0"/>
        <w:autoSpaceDN w:val="0"/>
        <w:adjustRightInd w:val="0"/>
        <w:spacing w:after="0" w:line="240" w:lineRule="auto"/>
        <w:rPr>
          <w:rFonts w:cs="Helvetica"/>
          <w:color w:val="000000"/>
          <w:szCs w:val="20"/>
        </w:rPr>
      </w:pPr>
    </w:p>
    <w:p w14:paraId="054D52F6" w14:textId="77777777" w:rsidR="00AD2638" w:rsidRDefault="00AD2638" w:rsidP="00140A36">
      <w:pPr>
        <w:autoSpaceDE w:val="0"/>
        <w:autoSpaceDN w:val="0"/>
        <w:adjustRightInd w:val="0"/>
        <w:spacing w:after="0" w:line="240" w:lineRule="auto"/>
        <w:rPr>
          <w:rFonts w:cs="Helvetica"/>
          <w:color w:val="000000"/>
          <w:szCs w:val="20"/>
        </w:rPr>
      </w:pPr>
    </w:p>
    <w:p w14:paraId="027460FE" w14:textId="77777777" w:rsidR="00AD2638" w:rsidRDefault="00AD2638" w:rsidP="00140A36">
      <w:pPr>
        <w:autoSpaceDE w:val="0"/>
        <w:autoSpaceDN w:val="0"/>
        <w:adjustRightInd w:val="0"/>
        <w:spacing w:after="0" w:line="240" w:lineRule="auto"/>
        <w:rPr>
          <w:rFonts w:cs="Helvetica"/>
          <w:color w:val="000000"/>
          <w:szCs w:val="20"/>
        </w:rPr>
      </w:pPr>
    </w:p>
    <w:p w14:paraId="45B99789" w14:textId="77777777" w:rsidR="00AD2638" w:rsidRDefault="00AD2638" w:rsidP="00140A36">
      <w:pPr>
        <w:autoSpaceDE w:val="0"/>
        <w:autoSpaceDN w:val="0"/>
        <w:adjustRightInd w:val="0"/>
        <w:spacing w:after="0" w:line="240" w:lineRule="auto"/>
        <w:rPr>
          <w:rFonts w:cs="Helvetica"/>
          <w:color w:val="000000"/>
          <w:szCs w:val="20"/>
        </w:rPr>
      </w:pPr>
    </w:p>
    <w:p w14:paraId="7BF74380" w14:textId="77777777" w:rsidR="00AD2638" w:rsidRDefault="00AD2638" w:rsidP="00140A36">
      <w:pPr>
        <w:autoSpaceDE w:val="0"/>
        <w:autoSpaceDN w:val="0"/>
        <w:adjustRightInd w:val="0"/>
        <w:spacing w:after="0" w:line="240" w:lineRule="auto"/>
        <w:rPr>
          <w:rFonts w:cs="Helvetica"/>
          <w:color w:val="000000"/>
          <w:szCs w:val="20"/>
        </w:rPr>
      </w:pPr>
    </w:p>
    <w:p w14:paraId="57E58973" w14:textId="77777777" w:rsidR="00AD2638" w:rsidRDefault="00AD2638" w:rsidP="00140A36">
      <w:pPr>
        <w:autoSpaceDE w:val="0"/>
        <w:autoSpaceDN w:val="0"/>
        <w:adjustRightInd w:val="0"/>
        <w:spacing w:after="0" w:line="240" w:lineRule="auto"/>
        <w:rPr>
          <w:rFonts w:cs="Helvetica"/>
          <w:color w:val="000000"/>
          <w:szCs w:val="20"/>
        </w:rPr>
      </w:pPr>
    </w:p>
    <w:p w14:paraId="1BD6D5AC" w14:textId="77777777" w:rsidR="00AD2638" w:rsidRDefault="00AD2638" w:rsidP="00140A36">
      <w:pPr>
        <w:autoSpaceDE w:val="0"/>
        <w:autoSpaceDN w:val="0"/>
        <w:adjustRightInd w:val="0"/>
        <w:spacing w:after="0" w:line="240" w:lineRule="auto"/>
        <w:rPr>
          <w:rFonts w:cs="Helvetica"/>
          <w:color w:val="000000"/>
          <w:szCs w:val="20"/>
        </w:rPr>
      </w:pPr>
    </w:p>
    <w:p w14:paraId="1BCFF99C" w14:textId="77777777" w:rsidR="00AD2638" w:rsidRDefault="00AD2638" w:rsidP="00140A36">
      <w:pPr>
        <w:autoSpaceDE w:val="0"/>
        <w:autoSpaceDN w:val="0"/>
        <w:adjustRightInd w:val="0"/>
        <w:spacing w:after="0" w:line="240" w:lineRule="auto"/>
        <w:rPr>
          <w:rFonts w:cs="Helvetica"/>
          <w:color w:val="000000"/>
          <w:szCs w:val="20"/>
        </w:rPr>
      </w:pPr>
    </w:p>
    <w:p w14:paraId="14A78C26" w14:textId="77777777" w:rsidR="00AD2638" w:rsidRDefault="00AD2638" w:rsidP="00140A36">
      <w:pPr>
        <w:autoSpaceDE w:val="0"/>
        <w:autoSpaceDN w:val="0"/>
        <w:adjustRightInd w:val="0"/>
        <w:spacing w:after="0" w:line="240" w:lineRule="auto"/>
        <w:rPr>
          <w:rFonts w:cs="Helvetica"/>
          <w:color w:val="000000"/>
          <w:szCs w:val="20"/>
        </w:rPr>
      </w:pPr>
    </w:p>
    <w:p w14:paraId="7AB8434D" w14:textId="77777777" w:rsidR="00AD2638" w:rsidRDefault="00AD2638" w:rsidP="00140A36">
      <w:pPr>
        <w:autoSpaceDE w:val="0"/>
        <w:autoSpaceDN w:val="0"/>
        <w:adjustRightInd w:val="0"/>
        <w:spacing w:after="0" w:line="240" w:lineRule="auto"/>
        <w:rPr>
          <w:rFonts w:cs="Helvetica"/>
          <w:color w:val="000000"/>
          <w:szCs w:val="20"/>
        </w:rPr>
      </w:pPr>
    </w:p>
    <w:p w14:paraId="09FAD557" w14:textId="77777777" w:rsidR="00AD2638" w:rsidRDefault="00AD2638" w:rsidP="00140A36">
      <w:pPr>
        <w:autoSpaceDE w:val="0"/>
        <w:autoSpaceDN w:val="0"/>
        <w:adjustRightInd w:val="0"/>
        <w:spacing w:after="0" w:line="240" w:lineRule="auto"/>
        <w:rPr>
          <w:rFonts w:cs="Helvetica"/>
          <w:color w:val="000000"/>
          <w:szCs w:val="20"/>
        </w:rPr>
      </w:pPr>
    </w:p>
    <w:p w14:paraId="76D72186" w14:textId="77777777" w:rsidR="00AD2638" w:rsidRDefault="00AD2638" w:rsidP="00140A36">
      <w:pPr>
        <w:autoSpaceDE w:val="0"/>
        <w:autoSpaceDN w:val="0"/>
        <w:adjustRightInd w:val="0"/>
        <w:spacing w:after="0" w:line="240" w:lineRule="auto"/>
        <w:rPr>
          <w:rFonts w:cs="Helvetica"/>
          <w:color w:val="000000"/>
          <w:szCs w:val="20"/>
        </w:rPr>
      </w:pPr>
    </w:p>
    <w:p w14:paraId="362E175A" w14:textId="77777777" w:rsidR="00AD2638" w:rsidRDefault="00AD2638" w:rsidP="00140A36">
      <w:pPr>
        <w:autoSpaceDE w:val="0"/>
        <w:autoSpaceDN w:val="0"/>
        <w:adjustRightInd w:val="0"/>
        <w:spacing w:after="0" w:line="240" w:lineRule="auto"/>
        <w:rPr>
          <w:rFonts w:cs="Helvetica"/>
          <w:color w:val="000000"/>
          <w:szCs w:val="20"/>
        </w:rPr>
      </w:pPr>
    </w:p>
    <w:p w14:paraId="2142B356" w14:textId="77777777" w:rsidR="00AD2638" w:rsidRDefault="00AD2638" w:rsidP="00140A36">
      <w:pPr>
        <w:autoSpaceDE w:val="0"/>
        <w:autoSpaceDN w:val="0"/>
        <w:adjustRightInd w:val="0"/>
        <w:spacing w:after="0" w:line="240" w:lineRule="auto"/>
        <w:rPr>
          <w:rFonts w:cs="Helvetica"/>
          <w:color w:val="000000"/>
          <w:szCs w:val="20"/>
        </w:rPr>
      </w:pPr>
    </w:p>
    <w:p w14:paraId="16E6A357" w14:textId="77777777" w:rsidR="00AD2638" w:rsidRDefault="00AD2638" w:rsidP="00140A36">
      <w:pPr>
        <w:autoSpaceDE w:val="0"/>
        <w:autoSpaceDN w:val="0"/>
        <w:adjustRightInd w:val="0"/>
        <w:spacing w:after="0" w:line="240" w:lineRule="auto"/>
        <w:rPr>
          <w:rFonts w:cs="Helvetica"/>
          <w:color w:val="000000"/>
          <w:szCs w:val="20"/>
        </w:rPr>
      </w:pPr>
    </w:p>
    <w:p w14:paraId="291503D1" w14:textId="77777777" w:rsidR="00AD2638" w:rsidRDefault="00AD2638" w:rsidP="00140A36">
      <w:pPr>
        <w:autoSpaceDE w:val="0"/>
        <w:autoSpaceDN w:val="0"/>
        <w:adjustRightInd w:val="0"/>
        <w:spacing w:after="0" w:line="240" w:lineRule="auto"/>
        <w:rPr>
          <w:rFonts w:cs="Helvetica"/>
          <w:color w:val="000000"/>
          <w:szCs w:val="20"/>
        </w:rPr>
      </w:pPr>
    </w:p>
    <w:p w14:paraId="26404025" w14:textId="77777777" w:rsidR="00AD2638" w:rsidRDefault="00AD2638" w:rsidP="00140A36">
      <w:pPr>
        <w:autoSpaceDE w:val="0"/>
        <w:autoSpaceDN w:val="0"/>
        <w:adjustRightInd w:val="0"/>
        <w:spacing w:after="0" w:line="240" w:lineRule="auto"/>
        <w:rPr>
          <w:rFonts w:cs="Helvetica"/>
          <w:color w:val="000000"/>
          <w:szCs w:val="20"/>
        </w:rPr>
      </w:pPr>
    </w:p>
    <w:p w14:paraId="09E98F68" w14:textId="77777777" w:rsidR="00AD2638" w:rsidRDefault="00AD2638" w:rsidP="00140A36">
      <w:pPr>
        <w:autoSpaceDE w:val="0"/>
        <w:autoSpaceDN w:val="0"/>
        <w:adjustRightInd w:val="0"/>
        <w:spacing w:after="0" w:line="240" w:lineRule="auto"/>
        <w:rPr>
          <w:rFonts w:cs="Helvetica"/>
          <w:color w:val="000000"/>
          <w:szCs w:val="20"/>
        </w:rPr>
      </w:pPr>
    </w:p>
    <w:p w14:paraId="602F3297" w14:textId="77777777" w:rsidR="00AD2638" w:rsidRDefault="00AD2638" w:rsidP="00140A36">
      <w:pPr>
        <w:autoSpaceDE w:val="0"/>
        <w:autoSpaceDN w:val="0"/>
        <w:adjustRightInd w:val="0"/>
        <w:spacing w:after="0" w:line="240" w:lineRule="auto"/>
        <w:rPr>
          <w:rFonts w:cs="Helvetica"/>
          <w:color w:val="000000"/>
          <w:szCs w:val="20"/>
        </w:rPr>
      </w:pPr>
    </w:p>
    <w:p w14:paraId="0DB4B256" w14:textId="77777777" w:rsidR="00AD2638" w:rsidRDefault="00AD2638" w:rsidP="00140A36">
      <w:pPr>
        <w:autoSpaceDE w:val="0"/>
        <w:autoSpaceDN w:val="0"/>
        <w:adjustRightInd w:val="0"/>
        <w:spacing w:after="0" w:line="240" w:lineRule="auto"/>
        <w:rPr>
          <w:rFonts w:cs="Helvetica"/>
          <w:color w:val="000000"/>
          <w:szCs w:val="20"/>
        </w:rPr>
      </w:pPr>
    </w:p>
    <w:p w14:paraId="682A3ACC" w14:textId="77777777" w:rsidR="00AD2638" w:rsidRDefault="00AD2638" w:rsidP="00140A36">
      <w:pPr>
        <w:autoSpaceDE w:val="0"/>
        <w:autoSpaceDN w:val="0"/>
        <w:adjustRightInd w:val="0"/>
        <w:spacing w:after="0" w:line="240" w:lineRule="auto"/>
        <w:rPr>
          <w:rFonts w:cs="Helvetica"/>
          <w:color w:val="000000"/>
          <w:szCs w:val="20"/>
        </w:rPr>
      </w:pPr>
    </w:p>
    <w:p w14:paraId="371E8EBC" w14:textId="77777777" w:rsidR="00AD2638" w:rsidRDefault="00AD2638" w:rsidP="00140A36">
      <w:pPr>
        <w:autoSpaceDE w:val="0"/>
        <w:autoSpaceDN w:val="0"/>
        <w:adjustRightInd w:val="0"/>
        <w:spacing w:after="0" w:line="240" w:lineRule="auto"/>
        <w:rPr>
          <w:rFonts w:cs="Helvetica"/>
          <w:color w:val="000000"/>
          <w:szCs w:val="20"/>
        </w:rPr>
      </w:pPr>
    </w:p>
    <w:p w14:paraId="2A5687FB" w14:textId="77777777" w:rsidR="00AD2638" w:rsidRDefault="00AD2638" w:rsidP="00140A36">
      <w:pPr>
        <w:autoSpaceDE w:val="0"/>
        <w:autoSpaceDN w:val="0"/>
        <w:adjustRightInd w:val="0"/>
        <w:spacing w:after="0" w:line="240" w:lineRule="auto"/>
        <w:rPr>
          <w:rFonts w:cs="Helvetica"/>
          <w:color w:val="000000"/>
          <w:szCs w:val="20"/>
        </w:rPr>
      </w:pPr>
    </w:p>
    <w:p w14:paraId="54AB7F2D" w14:textId="77777777" w:rsidR="00AD2638" w:rsidRDefault="00AD2638" w:rsidP="00140A36">
      <w:pPr>
        <w:autoSpaceDE w:val="0"/>
        <w:autoSpaceDN w:val="0"/>
        <w:adjustRightInd w:val="0"/>
        <w:spacing w:after="0" w:line="240" w:lineRule="auto"/>
        <w:rPr>
          <w:rFonts w:cs="Helvetica"/>
          <w:color w:val="000000"/>
          <w:szCs w:val="20"/>
        </w:rPr>
      </w:pPr>
    </w:p>
    <w:p w14:paraId="523AB6C4" w14:textId="77777777" w:rsidR="002F3146" w:rsidRDefault="002F3146" w:rsidP="00140A36">
      <w:pPr>
        <w:autoSpaceDE w:val="0"/>
        <w:autoSpaceDN w:val="0"/>
        <w:adjustRightInd w:val="0"/>
        <w:spacing w:after="0" w:line="240" w:lineRule="auto"/>
        <w:rPr>
          <w:rFonts w:cs="Helvetica"/>
          <w:color w:val="000000"/>
          <w:szCs w:val="20"/>
        </w:rPr>
      </w:pPr>
    </w:p>
    <w:p w14:paraId="318259BE" w14:textId="77777777" w:rsidR="00AD2638" w:rsidRDefault="00AD2638" w:rsidP="00140A36">
      <w:pPr>
        <w:autoSpaceDE w:val="0"/>
        <w:autoSpaceDN w:val="0"/>
        <w:adjustRightInd w:val="0"/>
        <w:spacing w:after="0" w:line="240" w:lineRule="auto"/>
        <w:rPr>
          <w:rFonts w:cs="Helvetica"/>
          <w:color w:val="000000"/>
          <w:szCs w:val="20"/>
        </w:rPr>
      </w:pPr>
    </w:p>
    <w:p w14:paraId="70B98E02" w14:textId="77777777" w:rsidR="00AD2638" w:rsidRPr="0069787F" w:rsidRDefault="00AD2638" w:rsidP="00140A36">
      <w:pPr>
        <w:autoSpaceDE w:val="0"/>
        <w:autoSpaceDN w:val="0"/>
        <w:adjustRightInd w:val="0"/>
        <w:spacing w:after="0" w:line="240" w:lineRule="auto"/>
        <w:rPr>
          <w:rFonts w:cs="Helvetica"/>
          <w:color w:val="000000"/>
          <w:szCs w:val="20"/>
        </w:rPr>
      </w:pPr>
    </w:p>
    <w:p w14:paraId="1989E794" w14:textId="77777777" w:rsidR="00D9453F" w:rsidRDefault="00D9453F" w:rsidP="008474F5">
      <w:pPr>
        <w:autoSpaceDE w:val="0"/>
        <w:autoSpaceDN w:val="0"/>
        <w:adjustRightInd w:val="0"/>
        <w:spacing w:after="0" w:line="240" w:lineRule="auto"/>
        <w:rPr>
          <w:rFonts w:ascii="Book Antiqua" w:hAnsi="Book Antiqua" w:cs="Helvetica"/>
          <w:color w:val="0000FF"/>
          <w:sz w:val="16"/>
          <w:szCs w:val="16"/>
        </w:rPr>
      </w:pPr>
    </w:p>
    <w:p w14:paraId="5A85CE30" w14:textId="77777777" w:rsidR="00140A36" w:rsidRPr="00CD4EDF" w:rsidRDefault="00140A36" w:rsidP="00443EAF">
      <w:pPr>
        <w:pStyle w:val="Heading1"/>
      </w:pPr>
      <w:bookmarkStart w:id="6" w:name="_Toc426117207"/>
      <w:r w:rsidRPr="00CD4EDF">
        <w:lastRenderedPageBreak/>
        <w:t>4</w:t>
      </w:r>
      <w:r w:rsidR="008474F5">
        <w:t>.</w:t>
      </w:r>
      <w:r w:rsidR="008474F5">
        <w:tab/>
      </w:r>
      <w:r w:rsidRPr="00D9453F">
        <w:rPr>
          <w:u w:val="single"/>
        </w:rPr>
        <w:t>Schedule of Line Loss Factors</w:t>
      </w:r>
      <w:bookmarkEnd w:id="6"/>
    </w:p>
    <w:p w14:paraId="5A43F4D5" w14:textId="77777777"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14:paraId="7C1470B5" w14:textId="77777777" w:rsidR="00140A36" w:rsidRPr="00443EAF" w:rsidRDefault="00140A36" w:rsidP="00443EAF">
      <w:pPr>
        <w:pStyle w:val="Subtitle"/>
        <w:rPr>
          <w:sz w:val="24"/>
          <w:u w:val="single"/>
        </w:rPr>
      </w:pPr>
      <w:r w:rsidRPr="00443EAF">
        <w:rPr>
          <w:sz w:val="24"/>
          <w:u w:val="single"/>
        </w:rPr>
        <w:t>Role of Line Loss Factors in the Supply of Electricity</w:t>
      </w:r>
    </w:p>
    <w:p w14:paraId="3734CE15" w14:textId="77777777"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14:paraId="7FD2DF0E" w14:textId="77777777"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4.1. </w:t>
      </w:r>
      <w:r w:rsidR="00140A36" w:rsidRPr="0069787F">
        <w:rPr>
          <w:rFonts w:cs="Helvetica"/>
          <w:color w:val="000000"/>
        </w:rPr>
        <w:t>Electricity entering or exiting the DNOs’ networks is adjusted to take account of energy that is</w:t>
      </w:r>
      <w:r w:rsidR="008474F5" w:rsidRPr="0069787F">
        <w:rPr>
          <w:rFonts w:cs="Helvetica"/>
          <w:color w:val="000000"/>
        </w:rPr>
        <w:t xml:space="preserve"> </w:t>
      </w:r>
      <w:r w:rsidR="00140A36" w:rsidRPr="0069787F">
        <w:rPr>
          <w:rFonts w:cs="Helvetica"/>
          <w:color w:val="000000"/>
        </w:rPr>
        <w:t>lost</w:t>
      </w:r>
      <w:r w:rsidR="00EF3EB1">
        <w:rPr>
          <w:rStyle w:val="FootnoteReference"/>
          <w:rFonts w:cs="Helvetica"/>
          <w:color w:val="000000"/>
        </w:rPr>
        <w:footnoteReference w:id="7"/>
      </w:r>
      <w:r w:rsidR="00EF3EB1">
        <w:rPr>
          <w:rFonts w:cs="Helvetica"/>
          <w:color w:val="000000"/>
          <w:vertAlign w:val="superscript"/>
        </w:rPr>
        <w:t xml:space="preserve"> </w:t>
      </w:r>
      <w:r w:rsidR="00140A36" w:rsidRPr="0069787F">
        <w:rPr>
          <w:rFonts w:cs="Helvetica"/>
          <w:color w:val="000000"/>
        </w:rPr>
        <w:t>as it is distributed through the network.</w:t>
      </w:r>
      <w:r>
        <w:rPr>
          <w:rFonts w:cs="Helvetica"/>
          <w:color w:val="000000"/>
        </w:rPr>
        <w:t xml:space="preserve"> </w:t>
      </w:r>
      <w:r w:rsidR="00140A36" w:rsidRPr="0069787F">
        <w:rPr>
          <w:rFonts w:cs="Helvetica"/>
          <w:color w:val="000000"/>
        </w:rPr>
        <w:t>This adjustment is made to ensure the energy bought or sold by a User, from/to a Customer,</w:t>
      </w:r>
      <w:r w:rsidR="008474F5" w:rsidRPr="0069787F">
        <w:rPr>
          <w:rFonts w:cs="Helvetica"/>
          <w:color w:val="000000"/>
        </w:rPr>
        <w:t xml:space="preserve"> </w:t>
      </w:r>
      <w:r w:rsidR="00140A36" w:rsidRPr="0069787F">
        <w:rPr>
          <w:rFonts w:cs="Helvetica"/>
          <w:color w:val="000000"/>
        </w:rPr>
        <w:t>accounts for energy lost as part of distributing energy to and from the Customer’s premises.</w:t>
      </w:r>
    </w:p>
    <w:p w14:paraId="57C41DB6" w14:textId="77777777" w:rsidR="00210527" w:rsidRPr="0069787F" w:rsidRDefault="00210527" w:rsidP="00140A36">
      <w:pPr>
        <w:autoSpaceDE w:val="0"/>
        <w:autoSpaceDN w:val="0"/>
        <w:adjustRightInd w:val="0"/>
        <w:spacing w:after="0" w:line="240" w:lineRule="auto"/>
        <w:rPr>
          <w:rFonts w:cs="Helvetica"/>
          <w:color w:val="000000"/>
        </w:rPr>
      </w:pPr>
    </w:p>
    <w:p w14:paraId="19B4B240" w14:textId="77777777"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4.2. </w:t>
      </w:r>
      <w:r w:rsidR="00B562C4">
        <w:rPr>
          <w:rFonts w:cs="Helvetica"/>
          <w:color w:val="000000"/>
        </w:rPr>
        <w:t>We</w:t>
      </w:r>
      <w:r w:rsidR="00140A36" w:rsidRPr="0069787F">
        <w:rPr>
          <w:rFonts w:cs="Helvetica"/>
          <w:color w:val="000000"/>
        </w:rPr>
        <w:t xml:space="preserve"> are responsible for calculating the Line Loss Factors</w:t>
      </w:r>
      <w:r w:rsidR="00EF3EB1">
        <w:rPr>
          <w:rStyle w:val="FootnoteReference"/>
          <w:rFonts w:cs="Helvetica"/>
          <w:color w:val="000000"/>
        </w:rPr>
        <w:footnoteReference w:id="8"/>
      </w:r>
      <w:r w:rsidR="00140A36" w:rsidRPr="0069787F">
        <w:rPr>
          <w:rFonts w:cs="Helvetica"/>
          <w:color w:val="000000"/>
        </w:rPr>
        <w:t xml:space="preserve"> (LLFs) and providing these factors</w:t>
      </w:r>
      <w:r w:rsidR="008474F5" w:rsidRPr="0069787F">
        <w:rPr>
          <w:rFonts w:cs="Helvetica"/>
          <w:color w:val="000000"/>
        </w:rPr>
        <w:t xml:space="preserve"> </w:t>
      </w:r>
      <w:r w:rsidR="00140A36" w:rsidRPr="0069787F">
        <w:rPr>
          <w:rFonts w:cs="Helvetica"/>
          <w:color w:val="000000"/>
        </w:rPr>
        <w:t>to Elexon. Elexon manage the Balancing and Settlement Code (BSC). The code covers the</w:t>
      </w:r>
      <w:r w:rsidR="008474F5" w:rsidRPr="0069787F">
        <w:rPr>
          <w:rFonts w:cs="Helvetica"/>
          <w:color w:val="000000"/>
        </w:rPr>
        <w:t xml:space="preserve"> </w:t>
      </w:r>
      <w:r w:rsidR="00140A36" w:rsidRPr="0069787F">
        <w:rPr>
          <w:rFonts w:cs="Helvetica"/>
          <w:color w:val="000000"/>
        </w:rPr>
        <w:t>governance and rules for the balancing and settlement arrangements.</w:t>
      </w:r>
    </w:p>
    <w:p w14:paraId="442700A4" w14:textId="77777777" w:rsidR="00210527" w:rsidRPr="0069787F" w:rsidRDefault="00210527" w:rsidP="00140A36">
      <w:pPr>
        <w:autoSpaceDE w:val="0"/>
        <w:autoSpaceDN w:val="0"/>
        <w:adjustRightInd w:val="0"/>
        <w:spacing w:after="0" w:line="240" w:lineRule="auto"/>
        <w:rPr>
          <w:rFonts w:cs="Helvetica"/>
          <w:color w:val="000000"/>
        </w:rPr>
      </w:pPr>
    </w:p>
    <w:p w14:paraId="275060AE" w14:textId="77777777"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4.3. </w:t>
      </w:r>
      <w:r w:rsidR="00140A36" w:rsidRPr="0069787F">
        <w:rPr>
          <w:rFonts w:cs="Helvetica"/>
          <w:color w:val="000000"/>
        </w:rPr>
        <w:t>Annex 5 provides the LLFs which must be used to adjust the Metering System volumes to take</w:t>
      </w:r>
      <w:r w:rsidR="008474F5" w:rsidRPr="0069787F">
        <w:rPr>
          <w:rFonts w:cs="Helvetica"/>
          <w:color w:val="000000"/>
        </w:rPr>
        <w:t xml:space="preserve"> </w:t>
      </w:r>
      <w:r w:rsidR="00140A36" w:rsidRPr="0069787F">
        <w:rPr>
          <w:rFonts w:cs="Helvetica"/>
          <w:color w:val="000000"/>
        </w:rPr>
        <w:t>account of losses on the Distribution Network.</w:t>
      </w:r>
    </w:p>
    <w:p w14:paraId="5199C987" w14:textId="77777777" w:rsidR="00210527" w:rsidRDefault="00210527" w:rsidP="00140A36">
      <w:pPr>
        <w:autoSpaceDE w:val="0"/>
        <w:autoSpaceDN w:val="0"/>
        <w:adjustRightInd w:val="0"/>
        <w:spacing w:after="0" w:line="240" w:lineRule="auto"/>
        <w:rPr>
          <w:rFonts w:cs="Helvetica-Bold"/>
          <w:b/>
          <w:bCs/>
          <w:color w:val="000000"/>
        </w:rPr>
      </w:pPr>
    </w:p>
    <w:p w14:paraId="13D5237A" w14:textId="77777777" w:rsidR="00140A36" w:rsidRPr="00443EAF" w:rsidRDefault="00140A36" w:rsidP="00443EAF">
      <w:pPr>
        <w:pStyle w:val="Subtitle"/>
        <w:rPr>
          <w:sz w:val="24"/>
          <w:u w:val="single"/>
        </w:rPr>
      </w:pPr>
      <w:r w:rsidRPr="00443EAF">
        <w:rPr>
          <w:sz w:val="24"/>
          <w:u w:val="single"/>
        </w:rPr>
        <w:t>Calculation of Line Loss Factors</w:t>
      </w:r>
    </w:p>
    <w:p w14:paraId="72BEB438" w14:textId="77777777" w:rsidR="00210527" w:rsidRPr="0069787F" w:rsidRDefault="00210527" w:rsidP="00140A36">
      <w:pPr>
        <w:autoSpaceDE w:val="0"/>
        <w:autoSpaceDN w:val="0"/>
        <w:adjustRightInd w:val="0"/>
        <w:spacing w:after="0" w:line="240" w:lineRule="auto"/>
        <w:rPr>
          <w:rFonts w:cs="Helvetica"/>
          <w:color w:val="000000"/>
          <w:sz w:val="20"/>
          <w:szCs w:val="20"/>
        </w:rPr>
      </w:pPr>
    </w:p>
    <w:p w14:paraId="1914AB54" w14:textId="77777777"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4.4. </w:t>
      </w:r>
      <w:r w:rsidR="00140A36" w:rsidRPr="0069787F">
        <w:rPr>
          <w:rFonts w:cs="Helvetica"/>
          <w:color w:val="000000"/>
        </w:rPr>
        <w:t>LLFs are calculated in accordance with BSC Procedure (BSCP) 128. BSCP 128 determines</w:t>
      </w:r>
      <w:r w:rsidR="008474F5" w:rsidRPr="0069787F">
        <w:rPr>
          <w:rFonts w:cs="Helvetica"/>
          <w:color w:val="000000"/>
        </w:rPr>
        <w:t xml:space="preserve"> </w:t>
      </w:r>
      <w:r w:rsidR="00140A36" w:rsidRPr="0069787F">
        <w:rPr>
          <w:rFonts w:cs="Helvetica"/>
          <w:color w:val="000000"/>
        </w:rPr>
        <w:t>the principles which DNOs must comply with when calculating LLFs.</w:t>
      </w:r>
    </w:p>
    <w:p w14:paraId="48FD670B" w14:textId="77777777" w:rsidR="00210527" w:rsidRDefault="00210527" w:rsidP="00140A36">
      <w:pPr>
        <w:autoSpaceDE w:val="0"/>
        <w:autoSpaceDN w:val="0"/>
        <w:adjustRightInd w:val="0"/>
        <w:spacing w:after="0" w:line="240" w:lineRule="auto"/>
        <w:rPr>
          <w:rFonts w:cs="Helvetica"/>
          <w:color w:val="000000"/>
        </w:rPr>
      </w:pPr>
    </w:p>
    <w:p w14:paraId="3C66ED4F" w14:textId="77777777"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4.5. </w:t>
      </w:r>
      <w:r w:rsidR="00140A36" w:rsidRPr="0069787F">
        <w:rPr>
          <w:rFonts w:cs="Helvetica"/>
          <w:color w:val="000000"/>
        </w:rPr>
        <w:t>LLFs are calculated using a generic method or a site specific method. The generic method is</w:t>
      </w:r>
      <w:r w:rsidR="008474F5" w:rsidRPr="0069787F">
        <w:rPr>
          <w:rFonts w:cs="Helvetica"/>
          <w:color w:val="000000"/>
        </w:rPr>
        <w:t xml:space="preserve"> </w:t>
      </w:r>
      <w:r w:rsidR="00140A36" w:rsidRPr="0069787F">
        <w:rPr>
          <w:rFonts w:cs="Helvetica"/>
          <w:color w:val="000000"/>
        </w:rPr>
        <w:t>used for sites connected at LV or HV and the site specific method is used for sites connected</w:t>
      </w:r>
      <w:r w:rsidR="008474F5" w:rsidRPr="0069787F">
        <w:rPr>
          <w:rFonts w:cs="Helvetica"/>
          <w:color w:val="000000"/>
        </w:rPr>
        <w:t xml:space="preserve"> </w:t>
      </w:r>
      <w:r w:rsidR="00140A36" w:rsidRPr="0069787F">
        <w:rPr>
          <w:rFonts w:cs="Helvetica"/>
          <w:color w:val="000000"/>
        </w:rPr>
        <w:t>at EHV or where a request for site specific LLFs has been agreed. Generic LLFs will be</w:t>
      </w:r>
      <w:r w:rsidR="008474F5" w:rsidRPr="0069787F">
        <w:rPr>
          <w:rFonts w:cs="Helvetica"/>
          <w:color w:val="000000"/>
        </w:rPr>
        <w:t xml:space="preserve"> </w:t>
      </w:r>
      <w:r w:rsidR="00140A36" w:rsidRPr="0069787F">
        <w:rPr>
          <w:rFonts w:cs="Helvetica"/>
          <w:color w:val="000000"/>
        </w:rPr>
        <w:t>applied to all new EHV sites until sufficient data is available for a site specific calculation.</w:t>
      </w:r>
    </w:p>
    <w:p w14:paraId="53AAC125" w14:textId="77777777" w:rsidR="00210527" w:rsidRDefault="00210527" w:rsidP="00140A36">
      <w:pPr>
        <w:autoSpaceDE w:val="0"/>
        <w:autoSpaceDN w:val="0"/>
        <w:adjustRightInd w:val="0"/>
        <w:spacing w:after="0" w:line="240" w:lineRule="auto"/>
        <w:rPr>
          <w:rFonts w:cs="Helvetica-Bold"/>
          <w:b/>
          <w:bCs/>
          <w:color w:val="000000"/>
        </w:rPr>
      </w:pPr>
    </w:p>
    <w:p w14:paraId="58C0934A" w14:textId="77777777" w:rsidR="006B5002" w:rsidRPr="006B5002" w:rsidRDefault="00F44706" w:rsidP="006B5002">
      <w:pPr>
        <w:autoSpaceDE w:val="0"/>
        <w:autoSpaceDN w:val="0"/>
        <w:adjustRightInd w:val="0"/>
        <w:spacing w:after="0" w:line="240" w:lineRule="auto"/>
        <w:rPr>
          <w:rFonts w:cs="Arial"/>
          <w:color w:val="000000"/>
        </w:rPr>
      </w:pPr>
      <w:r>
        <w:rPr>
          <w:rFonts w:cs="Arial"/>
          <w:color w:val="000000"/>
        </w:rPr>
        <w:t xml:space="preserve">4.6. </w:t>
      </w:r>
      <w:r w:rsidR="006B5002" w:rsidRPr="006B5002">
        <w:rPr>
          <w:rFonts w:cs="Arial"/>
          <w:color w:val="000000"/>
        </w:rPr>
        <w:t xml:space="preserve">The definition of EHV used for LLF purposes differs from the definition used for defining Designated EHV Properties that is used in the EDCM. The definition used for LLF purposes can be found in our LLF methodology. </w:t>
      </w:r>
    </w:p>
    <w:p w14:paraId="6EDF5878" w14:textId="77777777" w:rsidR="006B5002" w:rsidRDefault="006B5002" w:rsidP="00140A36">
      <w:pPr>
        <w:autoSpaceDE w:val="0"/>
        <w:autoSpaceDN w:val="0"/>
        <w:adjustRightInd w:val="0"/>
        <w:spacing w:after="0" w:line="240" w:lineRule="auto"/>
        <w:rPr>
          <w:rFonts w:cs="Helvetica-Bold"/>
          <w:b/>
          <w:bCs/>
          <w:color w:val="000000"/>
        </w:rPr>
      </w:pPr>
    </w:p>
    <w:p w14:paraId="0951E497" w14:textId="77777777" w:rsidR="00140A36" w:rsidRPr="0069787F" w:rsidRDefault="00F44706" w:rsidP="00140A36">
      <w:pPr>
        <w:autoSpaceDE w:val="0"/>
        <w:autoSpaceDN w:val="0"/>
        <w:adjustRightInd w:val="0"/>
        <w:spacing w:after="0" w:line="240" w:lineRule="auto"/>
        <w:rPr>
          <w:rFonts w:cs="Helvetica"/>
          <w:color w:val="000000"/>
        </w:rPr>
      </w:pPr>
      <w:r>
        <w:rPr>
          <w:rFonts w:cs="Helvetica"/>
          <w:color w:val="000000"/>
        </w:rPr>
        <w:t xml:space="preserve">4.7. </w:t>
      </w:r>
      <w:r w:rsidR="00140A36" w:rsidRPr="0069787F">
        <w:rPr>
          <w:rFonts w:cs="Helvetica"/>
          <w:color w:val="000000"/>
        </w:rPr>
        <w:t xml:space="preserve">The Elexon website </w:t>
      </w:r>
      <w:r w:rsidR="00140A36" w:rsidRPr="00255B06">
        <w:rPr>
          <w:rFonts w:cs="Helvetica"/>
          <w:color w:val="0070C0"/>
        </w:rPr>
        <w:t xml:space="preserve">(http://www.elexon.co.uk/reference/technical-operations/losses) </w:t>
      </w:r>
      <w:r w:rsidR="00140A36" w:rsidRPr="0069787F">
        <w:rPr>
          <w:rFonts w:cs="Helvetica"/>
          <w:color w:val="000000"/>
        </w:rPr>
        <w:t>contains</w:t>
      </w:r>
      <w:r w:rsidR="008474F5" w:rsidRPr="0069787F">
        <w:rPr>
          <w:rFonts w:cs="Helvetica"/>
          <w:color w:val="000000"/>
        </w:rPr>
        <w:t xml:space="preserve"> </w:t>
      </w:r>
      <w:r w:rsidR="00140A36" w:rsidRPr="0069787F">
        <w:rPr>
          <w:rFonts w:cs="Helvetica"/>
          <w:color w:val="000000"/>
        </w:rPr>
        <w:t>more information on LLFs. This page also has links to BSCP 128 and to our LLF methodology.</w:t>
      </w:r>
    </w:p>
    <w:p w14:paraId="25BB2509" w14:textId="77777777"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14:paraId="17889C3E" w14:textId="77777777" w:rsidR="00140A36" w:rsidRPr="00443EAF" w:rsidRDefault="00140A36" w:rsidP="00443EAF">
      <w:pPr>
        <w:pStyle w:val="Subtitle"/>
        <w:rPr>
          <w:sz w:val="24"/>
          <w:u w:val="single"/>
        </w:rPr>
      </w:pPr>
      <w:r w:rsidRPr="00443EAF">
        <w:rPr>
          <w:sz w:val="24"/>
          <w:u w:val="single"/>
        </w:rPr>
        <w:t>Line Loss Factor Time Periods</w:t>
      </w:r>
    </w:p>
    <w:p w14:paraId="6EDEC56C" w14:textId="77777777"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14:paraId="7348A456" w14:textId="77777777"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4.8. </w:t>
      </w:r>
      <w:r w:rsidR="00140A36" w:rsidRPr="0069787F">
        <w:rPr>
          <w:rFonts w:cs="Helvetica"/>
          <w:color w:val="000000"/>
          <w:szCs w:val="20"/>
        </w:rPr>
        <w:t>LLFs are calculated for a set number of time periods during the year and are detailed in Annex</w:t>
      </w:r>
      <w:r w:rsidR="008474F5" w:rsidRPr="0069787F">
        <w:rPr>
          <w:rFonts w:cs="Helvetica"/>
          <w:color w:val="000000"/>
          <w:szCs w:val="20"/>
        </w:rPr>
        <w:t xml:space="preserve"> 5</w:t>
      </w:r>
      <w:r w:rsidR="00444C82">
        <w:rPr>
          <w:rFonts w:cs="Helvetica"/>
          <w:color w:val="000000"/>
          <w:szCs w:val="20"/>
        </w:rPr>
        <w:t>.</w:t>
      </w:r>
    </w:p>
    <w:p w14:paraId="4A7137E3" w14:textId="77777777" w:rsidR="008474F5" w:rsidRPr="00CD4EDF" w:rsidRDefault="008474F5" w:rsidP="008474F5">
      <w:pPr>
        <w:autoSpaceDE w:val="0"/>
        <w:autoSpaceDN w:val="0"/>
        <w:adjustRightInd w:val="0"/>
        <w:spacing w:after="0" w:line="240" w:lineRule="auto"/>
        <w:rPr>
          <w:rFonts w:ascii="Book Antiqua" w:hAnsi="Book Antiqua" w:cs="Helvetica-Bold"/>
          <w:b/>
          <w:bCs/>
          <w:color w:val="000000"/>
          <w:sz w:val="24"/>
          <w:szCs w:val="24"/>
        </w:rPr>
      </w:pPr>
    </w:p>
    <w:p w14:paraId="7479E19E" w14:textId="77777777" w:rsidR="008474F5" w:rsidRPr="00443EAF" w:rsidRDefault="008474F5" w:rsidP="00443EAF">
      <w:pPr>
        <w:pStyle w:val="Subtitle"/>
        <w:rPr>
          <w:sz w:val="24"/>
          <w:u w:val="single"/>
        </w:rPr>
      </w:pPr>
      <w:r w:rsidRPr="00443EAF">
        <w:rPr>
          <w:sz w:val="24"/>
          <w:u w:val="single"/>
        </w:rPr>
        <w:t>Line Loss Factor Tables</w:t>
      </w:r>
    </w:p>
    <w:p w14:paraId="02D168A8" w14:textId="77777777" w:rsidR="008474F5" w:rsidRPr="0069787F" w:rsidRDefault="008474F5" w:rsidP="008474F5">
      <w:pPr>
        <w:autoSpaceDE w:val="0"/>
        <w:autoSpaceDN w:val="0"/>
        <w:adjustRightInd w:val="0"/>
        <w:spacing w:after="0" w:line="240" w:lineRule="auto"/>
        <w:rPr>
          <w:rFonts w:cs="Helvetica"/>
          <w:color w:val="000000"/>
          <w:sz w:val="20"/>
          <w:szCs w:val="20"/>
        </w:rPr>
      </w:pPr>
    </w:p>
    <w:p w14:paraId="36A8AB0E" w14:textId="77777777" w:rsidR="008474F5" w:rsidRPr="0069787F" w:rsidRDefault="00F44706" w:rsidP="008474F5">
      <w:pPr>
        <w:autoSpaceDE w:val="0"/>
        <w:autoSpaceDN w:val="0"/>
        <w:adjustRightInd w:val="0"/>
        <w:spacing w:after="0" w:line="240" w:lineRule="auto"/>
        <w:rPr>
          <w:rFonts w:cs="Helvetica"/>
          <w:color w:val="000000"/>
        </w:rPr>
      </w:pPr>
      <w:r>
        <w:rPr>
          <w:rFonts w:cs="Helvetica"/>
          <w:color w:val="000000"/>
        </w:rPr>
        <w:t xml:space="preserve">4.9. </w:t>
      </w:r>
      <w:r w:rsidR="008474F5" w:rsidRPr="0069787F">
        <w:rPr>
          <w:rFonts w:cs="Helvetica"/>
          <w:color w:val="000000"/>
        </w:rPr>
        <w:t>When using the LLF tables in Annex 5 reference should be made to the LLFC allocated to the MPAN to find the appropriate LLF.</w:t>
      </w:r>
    </w:p>
    <w:p w14:paraId="144B83BD" w14:textId="77777777" w:rsidR="009715CB" w:rsidRDefault="009715CB" w:rsidP="00140A36">
      <w:pPr>
        <w:autoSpaceDE w:val="0"/>
        <w:autoSpaceDN w:val="0"/>
        <w:adjustRightInd w:val="0"/>
        <w:spacing w:after="0" w:line="240" w:lineRule="auto"/>
        <w:rPr>
          <w:rFonts w:cs="Helvetica"/>
          <w:color w:val="000000"/>
        </w:rPr>
      </w:pPr>
    </w:p>
    <w:p w14:paraId="2D00FC3B" w14:textId="77777777" w:rsidR="00F44706" w:rsidRPr="00EF3EB1" w:rsidRDefault="00F44706" w:rsidP="00140A36">
      <w:pPr>
        <w:autoSpaceDE w:val="0"/>
        <w:autoSpaceDN w:val="0"/>
        <w:adjustRightInd w:val="0"/>
        <w:spacing w:after="0" w:line="240" w:lineRule="auto"/>
        <w:rPr>
          <w:rFonts w:cs="Helvetica"/>
          <w:color w:val="000000"/>
        </w:rPr>
      </w:pPr>
      <w:r>
        <w:rPr>
          <w:rFonts w:cs="Helvetica"/>
          <w:color w:val="000000"/>
        </w:rPr>
        <w:t xml:space="preserve">4.10. </w:t>
      </w:r>
      <w:r w:rsidR="008474F5" w:rsidRPr="0069787F">
        <w:rPr>
          <w:rFonts w:cs="Helvetica"/>
          <w:color w:val="000000"/>
        </w:rPr>
        <w:t xml:space="preserve">The Elexon Portal website, </w:t>
      </w:r>
      <w:hyperlink r:id="rId15" w:history="1">
        <w:r w:rsidR="008474F5" w:rsidRPr="0069787F">
          <w:rPr>
            <w:rStyle w:val="Hyperlink"/>
            <w:rFonts w:cs="Helvetica"/>
          </w:rPr>
          <w:t>https://www.elexonportal.co.uk</w:t>
        </w:r>
      </w:hyperlink>
      <w:r w:rsidR="008474F5" w:rsidRPr="0069787F">
        <w:rPr>
          <w:rFonts w:cs="Helvetica"/>
          <w:color w:val="000000"/>
        </w:rPr>
        <w:t xml:space="preserve"> contains the LLFs in standard industry data format (D0265). A user guide with details on registering and using the portal can be downloaded from </w:t>
      </w:r>
      <w:hyperlink r:id="rId16" w:history="1">
        <w:r w:rsidR="008474F5" w:rsidRPr="0069787F">
          <w:rPr>
            <w:rStyle w:val="Hyperlink"/>
            <w:rFonts w:cs="Helvetica"/>
          </w:rPr>
          <w:t>https://www.elexonportal.co.uk/userguide</w:t>
        </w:r>
      </w:hyperlink>
    </w:p>
    <w:p w14:paraId="19D9357C" w14:textId="77777777" w:rsidR="00140A36" w:rsidRPr="00CD4EDF" w:rsidRDefault="008474F5" w:rsidP="00443EAF">
      <w:pPr>
        <w:pStyle w:val="Heading1"/>
        <w:rPr>
          <w:rFonts w:cs="Helvetica"/>
          <w:sz w:val="20"/>
          <w:szCs w:val="20"/>
        </w:rPr>
      </w:pPr>
      <w:bookmarkStart w:id="7" w:name="_Toc426117208"/>
      <w:r>
        <w:lastRenderedPageBreak/>
        <w:t>5.</w:t>
      </w:r>
      <w:r>
        <w:tab/>
      </w:r>
      <w:r w:rsidR="00140A36" w:rsidRPr="00D9453F">
        <w:rPr>
          <w:u w:val="single"/>
        </w:rPr>
        <w:t>Notes for Designated EHV Properties</w:t>
      </w:r>
      <w:bookmarkEnd w:id="7"/>
    </w:p>
    <w:p w14:paraId="3CE5858D" w14:textId="77777777"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14:paraId="4C415235" w14:textId="77777777" w:rsidR="00140A36" w:rsidRPr="00443EAF" w:rsidRDefault="00140A36" w:rsidP="00443EAF">
      <w:pPr>
        <w:pStyle w:val="Subtitle"/>
        <w:rPr>
          <w:sz w:val="24"/>
          <w:u w:val="single"/>
        </w:rPr>
      </w:pPr>
      <w:r w:rsidRPr="00443EAF">
        <w:rPr>
          <w:sz w:val="24"/>
          <w:u w:val="single"/>
        </w:rPr>
        <w:t>EDCM Network Group Costs</w:t>
      </w:r>
    </w:p>
    <w:p w14:paraId="00FB88E2" w14:textId="77777777" w:rsidR="00210527" w:rsidRPr="00CD4EDF" w:rsidRDefault="00210527" w:rsidP="00140A36">
      <w:pPr>
        <w:autoSpaceDE w:val="0"/>
        <w:autoSpaceDN w:val="0"/>
        <w:adjustRightInd w:val="0"/>
        <w:spacing w:after="0" w:line="240" w:lineRule="auto"/>
        <w:rPr>
          <w:rFonts w:ascii="Book Antiqua" w:hAnsi="Book Antiqua" w:cs="Helvetica-Bold"/>
          <w:b/>
          <w:bCs/>
          <w:color w:val="000000"/>
          <w:sz w:val="24"/>
          <w:szCs w:val="24"/>
        </w:rPr>
      </w:pPr>
    </w:p>
    <w:p w14:paraId="4CBF0078" w14:textId="77777777"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5.1. </w:t>
      </w:r>
      <w:r w:rsidR="00210527" w:rsidRPr="0069787F">
        <w:rPr>
          <w:rFonts w:cs="Helvetica"/>
          <w:color w:val="000000"/>
          <w:szCs w:val="20"/>
        </w:rPr>
        <w:t>Harlaxton</w:t>
      </w:r>
      <w:r w:rsidR="008474F5" w:rsidRPr="0069787F">
        <w:rPr>
          <w:rFonts w:cs="Helvetica"/>
          <w:color w:val="000000"/>
          <w:szCs w:val="20"/>
        </w:rPr>
        <w:t xml:space="preserve"> Energy Networks </w:t>
      </w:r>
      <w:r w:rsidR="00140A36" w:rsidRPr="0069787F">
        <w:rPr>
          <w:rFonts w:cs="Helvetica"/>
          <w:color w:val="000000"/>
          <w:szCs w:val="20"/>
        </w:rPr>
        <w:t>does not currently have any Designated EHV Properties.</w:t>
      </w:r>
    </w:p>
    <w:p w14:paraId="5681E88A" w14:textId="77777777" w:rsidR="006B5002" w:rsidRPr="006B5002" w:rsidRDefault="006B5002" w:rsidP="006B5002">
      <w:pPr>
        <w:autoSpaceDE w:val="0"/>
        <w:autoSpaceDN w:val="0"/>
        <w:adjustRightInd w:val="0"/>
        <w:spacing w:after="0" w:line="240" w:lineRule="auto"/>
        <w:rPr>
          <w:rFonts w:ascii="Arial" w:hAnsi="Arial" w:cs="Arial"/>
          <w:color w:val="000000"/>
          <w:sz w:val="24"/>
          <w:szCs w:val="24"/>
        </w:rPr>
      </w:pPr>
    </w:p>
    <w:p w14:paraId="50C2DF7B" w14:textId="77777777" w:rsidR="006B5002" w:rsidRPr="006B5002" w:rsidRDefault="00F44706" w:rsidP="006B5002">
      <w:pPr>
        <w:autoSpaceDE w:val="0"/>
        <w:autoSpaceDN w:val="0"/>
        <w:adjustRightInd w:val="0"/>
        <w:spacing w:after="0" w:line="240" w:lineRule="auto"/>
        <w:rPr>
          <w:rFonts w:cs="Arial"/>
          <w:color w:val="000000"/>
        </w:rPr>
      </w:pPr>
      <w:r>
        <w:rPr>
          <w:rFonts w:cs="Arial"/>
          <w:color w:val="000000"/>
        </w:rPr>
        <w:t xml:space="preserve">5.2. </w:t>
      </w:r>
      <w:r w:rsidR="006B5002" w:rsidRPr="006B5002">
        <w:rPr>
          <w:rFonts w:cs="Arial"/>
          <w:color w:val="000000"/>
        </w:rPr>
        <w:t xml:space="preserve">These are illustrative of the modelled costs at the time that this statement was published. A new connection will result in changes to current network utilisations, which will then form the basis of future prices: the charge determined in this statement will not necessarily be the charge in subsequent years because of the interaction between new and existing network connections and any other changes made to our Distribution System which may affect charges. </w:t>
      </w:r>
    </w:p>
    <w:p w14:paraId="5F045A5B" w14:textId="77777777" w:rsidR="006B5002" w:rsidRPr="006B5002" w:rsidRDefault="006B5002" w:rsidP="006B5002"/>
    <w:p w14:paraId="450B4BBF" w14:textId="77777777" w:rsidR="00140A36" w:rsidRPr="00443EAF" w:rsidRDefault="00140A36" w:rsidP="00443EAF">
      <w:pPr>
        <w:pStyle w:val="Subtitle"/>
        <w:rPr>
          <w:sz w:val="24"/>
          <w:u w:val="single"/>
        </w:rPr>
      </w:pPr>
      <w:r w:rsidRPr="00443EAF">
        <w:rPr>
          <w:sz w:val="24"/>
          <w:u w:val="single"/>
        </w:rPr>
        <w:t>Charges for New Designated EHV Properties</w:t>
      </w:r>
    </w:p>
    <w:p w14:paraId="5D65AD6F" w14:textId="77777777" w:rsidR="00210527" w:rsidRPr="0069787F" w:rsidRDefault="00210527" w:rsidP="00140A36">
      <w:pPr>
        <w:autoSpaceDE w:val="0"/>
        <w:autoSpaceDN w:val="0"/>
        <w:adjustRightInd w:val="0"/>
        <w:spacing w:after="0" w:line="240" w:lineRule="auto"/>
        <w:rPr>
          <w:rFonts w:cs="Helvetica"/>
          <w:color w:val="000000"/>
          <w:szCs w:val="20"/>
        </w:rPr>
      </w:pPr>
    </w:p>
    <w:p w14:paraId="20BB6D5E" w14:textId="77777777"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5.3. </w:t>
      </w:r>
      <w:r w:rsidR="00140A36" w:rsidRPr="0069787F">
        <w:rPr>
          <w:rFonts w:cs="Helvetica"/>
          <w:color w:val="000000"/>
          <w:szCs w:val="20"/>
        </w:rPr>
        <w:t>Charges for any new Designated EHV Properties calculated after publication of the current</w:t>
      </w:r>
      <w:r w:rsidR="00A41285" w:rsidRPr="0069787F">
        <w:rPr>
          <w:rFonts w:cs="Helvetica"/>
          <w:color w:val="000000"/>
          <w:szCs w:val="20"/>
        </w:rPr>
        <w:t xml:space="preserve"> </w:t>
      </w:r>
      <w:r w:rsidR="00140A36" w:rsidRPr="0069787F">
        <w:rPr>
          <w:rFonts w:cs="Helvetica"/>
          <w:color w:val="000000"/>
          <w:szCs w:val="20"/>
        </w:rPr>
        <w:t>statement will be published in an addendum to that statement as and when necessary.</w:t>
      </w:r>
    </w:p>
    <w:p w14:paraId="515F7428" w14:textId="77777777" w:rsidR="00210527" w:rsidRPr="0069787F" w:rsidRDefault="00210527" w:rsidP="00140A36">
      <w:pPr>
        <w:autoSpaceDE w:val="0"/>
        <w:autoSpaceDN w:val="0"/>
        <w:adjustRightInd w:val="0"/>
        <w:spacing w:after="0" w:line="240" w:lineRule="auto"/>
        <w:rPr>
          <w:rFonts w:cs="Helvetica"/>
          <w:color w:val="000000"/>
          <w:szCs w:val="20"/>
        </w:rPr>
      </w:pPr>
    </w:p>
    <w:p w14:paraId="55F80789" w14:textId="77777777"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5.4. </w:t>
      </w:r>
      <w:r w:rsidR="00140A36" w:rsidRPr="0069787F">
        <w:rPr>
          <w:rFonts w:cs="Helvetica"/>
          <w:color w:val="000000"/>
          <w:szCs w:val="20"/>
        </w:rPr>
        <w:t>The form of th</w:t>
      </w:r>
      <w:r w:rsidR="00444C82">
        <w:rPr>
          <w:rFonts w:cs="Helvetica"/>
          <w:color w:val="000000"/>
          <w:szCs w:val="20"/>
        </w:rPr>
        <w:t>e addendum is detailed</w:t>
      </w:r>
      <w:r w:rsidR="00140A36" w:rsidRPr="0069787F">
        <w:rPr>
          <w:rFonts w:cs="Helvetica"/>
          <w:color w:val="000000"/>
          <w:szCs w:val="20"/>
        </w:rPr>
        <w:t xml:space="preserve"> in Annex 6 of this statement.</w:t>
      </w:r>
    </w:p>
    <w:p w14:paraId="2745E6EA" w14:textId="77777777" w:rsidR="00C37A8C" w:rsidRDefault="00C37A8C" w:rsidP="00140A36">
      <w:pPr>
        <w:autoSpaceDE w:val="0"/>
        <w:autoSpaceDN w:val="0"/>
        <w:adjustRightInd w:val="0"/>
        <w:spacing w:after="0" w:line="240" w:lineRule="auto"/>
        <w:rPr>
          <w:rFonts w:cs="Helvetica"/>
          <w:color w:val="000000"/>
          <w:szCs w:val="20"/>
        </w:rPr>
      </w:pPr>
    </w:p>
    <w:p w14:paraId="3FB8782C" w14:textId="77777777" w:rsidR="00140A36" w:rsidRPr="0069787F"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5.5. </w:t>
      </w:r>
      <w:r w:rsidR="00140A36" w:rsidRPr="0069787F">
        <w:rPr>
          <w:rFonts w:cs="Helvetica"/>
          <w:color w:val="000000"/>
          <w:szCs w:val="20"/>
        </w:rPr>
        <w:t>The addendum will be sent to relevant DCUSA parties and published as a revised</w:t>
      </w:r>
      <w:r w:rsidR="00A41285" w:rsidRPr="0069787F">
        <w:rPr>
          <w:rFonts w:cs="Helvetica"/>
          <w:color w:val="000000"/>
          <w:szCs w:val="20"/>
        </w:rPr>
        <w:t xml:space="preserve"> </w:t>
      </w:r>
      <w:r w:rsidR="00140A36" w:rsidRPr="0069787F">
        <w:rPr>
          <w:rFonts w:cs="Helvetica"/>
          <w:color w:val="000000"/>
          <w:szCs w:val="20"/>
        </w:rPr>
        <w:t>“Schedule of Charges and other tables” spreadsheet on our website. The addendum will</w:t>
      </w:r>
      <w:r w:rsidR="00A41285" w:rsidRPr="0069787F">
        <w:rPr>
          <w:rFonts w:cs="Helvetica"/>
          <w:color w:val="000000"/>
          <w:szCs w:val="20"/>
        </w:rPr>
        <w:t xml:space="preserve"> </w:t>
      </w:r>
      <w:r w:rsidR="00140A36" w:rsidRPr="0069787F">
        <w:rPr>
          <w:rFonts w:cs="Helvetica"/>
          <w:color w:val="000000"/>
          <w:szCs w:val="20"/>
        </w:rPr>
        <w:t>include charge information that under enduring circumstances would be found in Annex 2</w:t>
      </w:r>
      <w:r w:rsidR="00A41285" w:rsidRPr="0069787F">
        <w:rPr>
          <w:rFonts w:cs="Helvetica"/>
          <w:color w:val="000000"/>
          <w:szCs w:val="20"/>
        </w:rPr>
        <w:t xml:space="preserve"> </w:t>
      </w:r>
      <w:r w:rsidR="00140A36" w:rsidRPr="0069787F">
        <w:rPr>
          <w:rFonts w:cs="Helvetica"/>
          <w:color w:val="000000"/>
          <w:szCs w:val="20"/>
        </w:rPr>
        <w:t>and line loss factors that would normally be found in Annex 5.</w:t>
      </w:r>
    </w:p>
    <w:p w14:paraId="22E70FAB" w14:textId="77777777" w:rsidR="00210527" w:rsidRPr="0069787F" w:rsidRDefault="00210527" w:rsidP="00140A36">
      <w:pPr>
        <w:autoSpaceDE w:val="0"/>
        <w:autoSpaceDN w:val="0"/>
        <w:adjustRightInd w:val="0"/>
        <w:spacing w:after="0" w:line="240" w:lineRule="auto"/>
        <w:rPr>
          <w:rFonts w:cs="Helvetica"/>
          <w:color w:val="000000"/>
          <w:szCs w:val="20"/>
        </w:rPr>
      </w:pPr>
    </w:p>
    <w:p w14:paraId="1550EB3D" w14:textId="77777777" w:rsidR="00140A36" w:rsidRDefault="00F44706" w:rsidP="00140A36">
      <w:pPr>
        <w:autoSpaceDE w:val="0"/>
        <w:autoSpaceDN w:val="0"/>
        <w:adjustRightInd w:val="0"/>
        <w:spacing w:after="0" w:line="240" w:lineRule="auto"/>
        <w:rPr>
          <w:rFonts w:cs="Helvetica"/>
          <w:color w:val="000000"/>
          <w:szCs w:val="20"/>
        </w:rPr>
      </w:pPr>
      <w:r>
        <w:rPr>
          <w:rFonts w:cs="Helvetica"/>
          <w:color w:val="000000"/>
          <w:szCs w:val="20"/>
        </w:rPr>
        <w:t xml:space="preserve">5.6. </w:t>
      </w:r>
      <w:r w:rsidR="00140A36" w:rsidRPr="0069787F">
        <w:rPr>
          <w:rFonts w:cs="Helvetica"/>
          <w:color w:val="000000"/>
          <w:szCs w:val="20"/>
        </w:rPr>
        <w:t>The new Designated EHV Properties charges will be added to Annex 2 in the next full</w:t>
      </w:r>
      <w:r w:rsidR="00A41285" w:rsidRPr="0069787F">
        <w:rPr>
          <w:rFonts w:cs="Helvetica"/>
          <w:color w:val="000000"/>
          <w:szCs w:val="20"/>
        </w:rPr>
        <w:t xml:space="preserve"> </w:t>
      </w:r>
      <w:r w:rsidR="00140A36" w:rsidRPr="0069787F">
        <w:rPr>
          <w:rFonts w:cs="Helvetica"/>
          <w:color w:val="000000"/>
          <w:szCs w:val="20"/>
        </w:rPr>
        <w:t>statement released.</w:t>
      </w:r>
    </w:p>
    <w:p w14:paraId="5C5D4E03" w14:textId="77777777" w:rsidR="006B5002" w:rsidRDefault="006B5002" w:rsidP="00140A36">
      <w:pPr>
        <w:autoSpaceDE w:val="0"/>
        <w:autoSpaceDN w:val="0"/>
        <w:adjustRightInd w:val="0"/>
        <w:spacing w:after="0" w:line="240" w:lineRule="auto"/>
        <w:rPr>
          <w:rFonts w:cs="Helvetica"/>
          <w:color w:val="000000"/>
          <w:szCs w:val="20"/>
        </w:rPr>
      </w:pPr>
    </w:p>
    <w:p w14:paraId="0286B48B" w14:textId="77777777" w:rsidR="006B5002" w:rsidRPr="006B5002" w:rsidRDefault="00B742F7" w:rsidP="006B5002">
      <w:pPr>
        <w:pStyle w:val="Subtitle"/>
        <w:rPr>
          <w:u w:val="single"/>
        </w:rPr>
      </w:pPr>
      <w:r>
        <w:rPr>
          <w:sz w:val="24"/>
          <w:u w:val="single"/>
        </w:rPr>
        <w:t>Charges For A</w:t>
      </w:r>
      <w:r w:rsidR="006B5002" w:rsidRPr="006B5002">
        <w:rPr>
          <w:sz w:val="24"/>
          <w:u w:val="single"/>
        </w:rPr>
        <w:t>mended Designated EHV Properties</w:t>
      </w:r>
      <w:r w:rsidR="006B5002" w:rsidRPr="006B5002">
        <w:rPr>
          <w:u w:val="single"/>
        </w:rPr>
        <w:t xml:space="preserve"> </w:t>
      </w:r>
    </w:p>
    <w:p w14:paraId="04C8D7BF" w14:textId="77777777" w:rsidR="006B5002" w:rsidRPr="006B5002" w:rsidRDefault="00F44706" w:rsidP="006B5002">
      <w:pPr>
        <w:pStyle w:val="Default"/>
        <w:rPr>
          <w:rFonts w:asciiTheme="minorHAnsi" w:hAnsiTheme="minorHAnsi"/>
          <w:sz w:val="22"/>
          <w:szCs w:val="22"/>
        </w:rPr>
      </w:pPr>
      <w:r>
        <w:rPr>
          <w:rFonts w:asciiTheme="minorHAnsi" w:hAnsiTheme="minorHAnsi"/>
          <w:sz w:val="22"/>
          <w:szCs w:val="22"/>
        </w:rPr>
        <w:t xml:space="preserve">5.7. </w:t>
      </w:r>
      <w:r w:rsidR="006B5002" w:rsidRPr="006B5002">
        <w:rPr>
          <w:rFonts w:asciiTheme="minorHAnsi" w:hAnsiTheme="minorHAnsi"/>
          <w:sz w:val="22"/>
          <w:szCs w:val="22"/>
        </w:rPr>
        <w:t xml:space="preserve">Where an existing Designated EHV Property is modified and energised in the charging year, we may revise the EHV charges for the modified Designated EHV Property. If revised charges are appropriate, an addendum will be sent to relevant DCUSA parties and published as a revised ‘Schedule of Charges and Other Tables' spreadsheet on our website. The modified Designated EHV Property charges will be added to Annex 2 in the next full statement released. </w:t>
      </w:r>
    </w:p>
    <w:p w14:paraId="2809640D" w14:textId="77777777" w:rsidR="006B5002" w:rsidRPr="006B5002" w:rsidRDefault="006B5002" w:rsidP="006B5002"/>
    <w:p w14:paraId="0B5010E5" w14:textId="77777777" w:rsidR="006B5002" w:rsidRPr="006B5002" w:rsidRDefault="006B5002" w:rsidP="006B5002">
      <w:pPr>
        <w:pStyle w:val="Subtitle"/>
        <w:rPr>
          <w:sz w:val="24"/>
          <w:u w:val="single"/>
        </w:rPr>
      </w:pPr>
      <w:r w:rsidRPr="006B5002">
        <w:rPr>
          <w:bCs/>
          <w:sz w:val="24"/>
          <w:u w:val="single"/>
        </w:rPr>
        <w:t xml:space="preserve">Demand-side </w:t>
      </w:r>
      <w:r w:rsidR="00B742F7">
        <w:rPr>
          <w:bCs/>
          <w:sz w:val="24"/>
          <w:u w:val="single"/>
        </w:rPr>
        <w:t>M</w:t>
      </w:r>
      <w:r w:rsidRPr="006B5002">
        <w:rPr>
          <w:bCs/>
          <w:sz w:val="24"/>
          <w:u w:val="single"/>
        </w:rPr>
        <w:t xml:space="preserve">anagement </w:t>
      </w:r>
    </w:p>
    <w:p w14:paraId="19A4E50B" w14:textId="77777777" w:rsidR="006B5002" w:rsidRPr="006B5002" w:rsidRDefault="00787B44" w:rsidP="006B5002">
      <w:pPr>
        <w:pStyle w:val="Default"/>
        <w:spacing w:after="273"/>
        <w:rPr>
          <w:rFonts w:asciiTheme="minorHAnsi" w:hAnsiTheme="minorHAnsi"/>
          <w:sz w:val="22"/>
          <w:szCs w:val="22"/>
        </w:rPr>
      </w:pPr>
      <w:r>
        <w:rPr>
          <w:rFonts w:asciiTheme="minorHAnsi" w:hAnsiTheme="minorHAnsi"/>
          <w:sz w:val="22"/>
          <w:szCs w:val="22"/>
        </w:rPr>
        <w:t xml:space="preserve">5.8. </w:t>
      </w:r>
      <w:r w:rsidR="006B5002" w:rsidRPr="006B5002">
        <w:rPr>
          <w:rFonts w:asciiTheme="minorHAnsi" w:hAnsiTheme="minorHAnsi"/>
          <w:sz w:val="22"/>
          <w:szCs w:val="22"/>
        </w:rPr>
        <w:t xml:space="preserve">New or existing Designated EHV Property Customers may wish to offer part of their MIC to be interruptible by us (for active network management purposes other than normal planned or unplanned outages) in order to benefit from any reduced UoS charges calculated using the EDCM. </w:t>
      </w:r>
    </w:p>
    <w:p w14:paraId="65F38989" w14:textId="77777777" w:rsidR="006B5002" w:rsidRDefault="00787B44" w:rsidP="006B5002">
      <w:pPr>
        <w:pStyle w:val="Default"/>
        <w:rPr>
          <w:sz w:val="22"/>
          <w:szCs w:val="22"/>
        </w:rPr>
      </w:pPr>
      <w:r>
        <w:rPr>
          <w:rFonts w:asciiTheme="minorHAnsi" w:hAnsiTheme="minorHAnsi"/>
          <w:sz w:val="22"/>
          <w:szCs w:val="22"/>
        </w:rPr>
        <w:t xml:space="preserve">5.9. </w:t>
      </w:r>
      <w:r w:rsidR="006B5002" w:rsidRPr="006B5002">
        <w:rPr>
          <w:rFonts w:asciiTheme="minorHAnsi" w:hAnsiTheme="minorHAnsi"/>
          <w:sz w:val="22"/>
          <w:szCs w:val="22"/>
        </w:rPr>
        <w:t>Several options exist in which we may agree for some or the entire MIC to be interruptible. Under the EDCM the applicable demand capacity costs would be based on the MIC minus the capacity subject to interruption</w:t>
      </w:r>
      <w:r w:rsidR="006B5002">
        <w:rPr>
          <w:sz w:val="22"/>
          <w:szCs w:val="22"/>
        </w:rPr>
        <w:t xml:space="preserve">. </w:t>
      </w:r>
    </w:p>
    <w:p w14:paraId="4AF0273F" w14:textId="77777777" w:rsidR="006B5002" w:rsidRDefault="006B5002" w:rsidP="006B5002">
      <w:pPr>
        <w:pStyle w:val="Default"/>
      </w:pPr>
    </w:p>
    <w:p w14:paraId="7A1E6F34" w14:textId="77777777" w:rsidR="006B5002" w:rsidRDefault="00787B44" w:rsidP="006B5002">
      <w:pPr>
        <w:pStyle w:val="Default"/>
        <w:rPr>
          <w:rFonts w:asciiTheme="minorHAnsi" w:hAnsiTheme="minorHAnsi"/>
          <w:sz w:val="22"/>
          <w:szCs w:val="22"/>
        </w:rPr>
      </w:pPr>
      <w:r>
        <w:rPr>
          <w:rFonts w:asciiTheme="minorHAnsi" w:hAnsiTheme="minorHAnsi"/>
          <w:sz w:val="22"/>
          <w:szCs w:val="22"/>
        </w:rPr>
        <w:t xml:space="preserve">5.10. </w:t>
      </w:r>
      <w:r w:rsidR="006B5002" w:rsidRPr="006B5002">
        <w:rPr>
          <w:rFonts w:asciiTheme="minorHAnsi" w:hAnsiTheme="minorHAnsi"/>
          <w:sz w:val="22"/>
          <w:szCs w:val="22"/>
        </w:rPr>
        <w:t xml:space="preserve">connection or modification to an existing connection you should in the first instance contact our connections function; </w:t>
      </w:r>
    </w:p>
    <w:p w14:paraId="7C9D1D7D" w14:textId="77777777" w:rsidR="006B5002" w:rsidRDefault="006B5002" w:rsidP="006B5002">
      <w:pPr>
        <w:pStyle w:val="Default"/>
        <w:rPr>
          <w:rFonts w:asciiTheme="minorHAnsi" w:hAnsiTheme="minorHAnsi"/>
          <w:sz w:val="22"/>
          <w:szCs w:val="22"/>
        </w:rPr>
      </w:pPr>
    </w:p>
    <w:p w14:paraId="32815180" w14:textId="77777777" w:rsidR="006B5002" w:rsidRDefault="006B5002" w:rsidP="009624AE">
      <w:pPr>
        <w:pStyle w:val="Default"/>
        <w:numPr>
          <w:ilvl w:val="0"/>
          <w:numId w:val="8"/>
        </w:numPr>
        <w:rPr>
          <w:rFonts w:asciiTheme="minorHAnsi" w:hAnsiTheme="minorHAnsi"/>
          <w:sz w:val="22"/>
          <w:szCs w:val="22"/>
        </w:rPr>
      </w:pPr>
      <w:r w:rsidRPr="006B5002">
        <w:rPr>
          <w:rFonts w:asciiTheme="minorHAnsi" w:hAnsiTheme="minorHAnsi"/>
          <w:sz w:val="22"/>
          <w:szCs w:val="22"/>
        </w:rPr>
        <w:t xml:space="preserve">By email </w:t>
      </w:r>
      <w:r>
        <w:rPr>
          <w:rFonts w:asciiTheme="minorHAnsi" w:hAnsiTheme="minorHAnsi"/>
          <w:sz w:val="22"/>
          <w:szCs w:val="22"/>
        </w:rPr>
        <w:t>info@harlaxtonenergynetworks.com</w:t>
      </w:r>
    </w:p>
    <w:p w14:paraId="2620768A" w14:textId="77777777" w:rsidR="00787B44" w:rsidRDefault="00787B44" w:rsidP="009624AE">
      <w:pPr>
        <w:pStyle w:val="Default"/>
        <w:numPr>
          <w:ilvl w:val="0"/>
          <w:numId w:val="8"/>
        </w:numPr>
        <w:rPr>
          <w:rFonts w:asciiTheme="minorHAnsi" w:hAnsiTheme="minorHAnsi"/>
          <w:sz w:val="22"/>
          <w:szCs w:val="22"/>
        </w:rPr>
      </w:pPr>
      <w:r>
        <w:rPr>
          <w:rFonts w:asciiTheme="minorHAnsi" w:hAnsiTheme="minorHAnsi"/>
          <w:sz w:val="22"/>
          <w:szCs w:val="22"/>
        </w:rPr>
        <w:t>By Telephone: 08448001813</w:t>
      </w:r>
    </w:p>
    <w:p w14:paraId="46705A35" w14:textId="77777777" w:rsidR="00787B44" w:rsidRDefault="00787B44" w:rsidP="009624AE">
      <w:pPr>
        <w:pStyle w:val="Default"/>
        <w:numPr>
          <w:ilvl w:val="0"/>
          <w:numId w:val="8"/>
        </w:numPr>
        <w:rPr>
          <w:rFonts w:asciiTheme="minorHAnsi" w:hAnsiTheme="minorHAnsi"/>
          <w:sz w:val="22"/>
          <w:szCs w:val="22"/>
        </w:rPr>
      </w:pPr>
      <w:r>
        <w:rPr>
          <w:rFonts w:asciiTheme="minorHAnsi" w:hAnsiTheme="minorHAnsi"/>
          <w:sz w:val="22"/>
          <w:szCs w:val="22"/>
        </w:rPr>
        <w:t>By Post: Westby Lodge, Westby, Grantham, Lincolnshire, NG33 4EA</w:t>
      </w:r>
    </w:p>
    <w:p w14:paraId="5F41876E" w14:textId="77777777" w:rsidR="00787B44" w:rsidRDefault="00787B44" w:rsidP="00787B44">
      <w:pPr>
        <w:pStyle w:val="Default"/>
        <w:ind w:left="360"/>
        <w:rPr>
          <w:rFonts w:asciiTheme="minorHAnsi" w:hAnsiTheme="minorHAnsi"/>
          <w:sz w:val="22"/>
          <w:szCs w:val="22"/>
        </w:rPr>
      </w:pPr>
    </w:p>
    <w:p w14:paraId="6FF5818B" w14:textId="77777777" w:rsidR="007F6AE7" w:rsidRDefault="007F6AE7" w:rsidP="00787B44">
      <w:pPr>
        <w:pStyle w:val="Default"/>
        <w:ind w:left="360"/>
        <w:rPr>
          <w:rFonts w:asciiTheme="minorHAnsi" w:hAnsiTheme="minorHAnsi"/>
          <w:sz w:val="22"/>
          <w:szCs w:val="22"/>
        </w:rPr>
      </w:pPr>
    </w:p>
    <w:p w14:paraId="387791A1" w14:textId="77777777" w:rsidR="006B5002" w:rsidRDefault="006B5002" w:rsidP="00787B44">
      <w:pPr>
        <w:pStyle w:val="Default"/>
        <w:rPr>
          <w:rFonts w:asciiTheme="minorHAnsi" w:hAnsiTheme="minorHAnsi"/>
          <w:sz w:val="22"/>
          <w:szCs w:val="22"/>
        </w:rPr>
      </w:pPr>
      <w:r w:rsidRPr="006B5002">
        <w:rPr>
          <w:rFonts w:asciiTheme="minorHAnsi" w:hAnsiTheme="minorHAnsi"/>
          <w:sz w:val="22"/>
          <w:szCs w:val="22"/>
        </w:rPr>
        <w:t xml:space="preserve">You must make an express statement in your application that you have an interest in some or all of the import capacity being interruptible for active network management purposes. </w:t>
      </w:r>
    </w:p>
    <w:p w14:paraId="5E1AA920" w14:textId="77777777" w:rsidR="006B5002" w:rsidRPr="006B5002" w:rsidRDefault="006B5002" w:rsidP="006B5002">
      <w:pPr>
        <w:pStyle w:val="Default"/>
        <w:ind w:left="720"/>
        <w:rPr>
          <w:rFonts w:asciiTheme="minorHAnsi" w:hAnsiTheme="minorHAnsi"/>
          <w:sz w:val="22"/>
          <w:szCs w:val="22"/>
        </w:rPr>
      </w:pPr>
    </w:p>
    <w:p w14:paraId="3FD71015" w14:textId="77777777" w:rsidR="006B5002" w:rsidRPr="006B5002" w:rsidRDefault="00787B44" w:rsidP="006B5002">
      <w:pPr>
        <w:pStyle w:val="Default"/>
        <w:spacing w:after="273"/>
        <w:rPr>
          <w:rFonts w:asciiTheme="minorHAnsi" w:hAnsiTheme="minorHAnsi"/>
          <w:sz w:val="22"/>
          <w:szCs w:val="22"/>
        </w:rPr>
      </w:pPr>
      <w:r>
        <w:rPr>
          <w:rFonts w:asciiTheme="minorHAnsi" w:hAnsiTheme="minorHAnsi"/>
          <w:sz w:val="22"/>
          <w:szCs w:val="22"/>
        </w:rPr>
        <w:t xml:space="preserve">5.11. </w:t>
      </w:r>
      <w:r w:rsidR="006B5002" w:rsidRPr="006B5002">
        <w:rPr>
          <w:rFonts w:asciiTheme="minorHAnsi" w:hAnsiTheme="minorHAnsi"/>
          <w:sz w:val="22"/>
          <w:szCs w:val="22"/>
        </w:rPr>
        <w:t xml:space="preserve">If you are proactively interested in voluntarily but revocably offering to make some or all of your existing connection’s MIC interruptible you should in the first instance contact us at the address in </w:t>
      </w:r>
      <w:r w:rsidR="006B5002">
        <w:rPr>
          <w:rFonts w:asciiTheme="minorHAnsi" w:hAnsiTheme="minorHAnsi"/>
          <w:sz w:val="22"/>
          <w:szCs w:val="22"/>
        </w:rPr>
        <w:t>this statement.</w:t>
      </w:r>
    </w:p>
    <w:p w14:paraId="3890DF34" w14:textId="77777777" w:rsidR="006B5002" w:rsidRPr="006B5002" w:rsidRDefault="00787B44" w:rsidP="006B5002">
      <w:pPr>
        <w:pStyle w:val="Default"/>
        <w:spacing w:after="273"/>
        <w:rPr>
          <w:rFonts w:asciiTheme="minorHAnsi" w:hAnsiTheme="minorHAnsi"/>
          <w:sz w:val="22"/>
          <w:szCs w:val="22"/>
        </w:rPr>
      </w:pPr>
      <w:r>
        <w:rPr>
          <w:rFonts w:asciiTheme="minorHAnsi" w:hAnsiTheme="minorHAnsi"/>
          <w:sz w:val="22"/>
          <w:szCs w:val="22"/>
        </w:rPr>
        <w:t xml:space="preserve">5.12. </w:t>
      </w:r>
      <w:r w:rsidR="006B5002" w:rsidRPr="006B5002">
        <w:rPr>
          <w:rFonts w:asciiTheme="minorHAnsi" w:hAnsiTheme="minorHAnsi"/>
          <w:sz w:val="22"/>
          <w:szCs w:val="22"/>
        </w:rPr>
        <w:t xml:space="preserve">A guide to DSM is also available. This provides more information on the type of arrangement that might be put in place should you request to participate in DSM arrangements. This document is available by contacting us at the address in </w:t>
      </w:r>
      <w:r w:rsidR="006B5002">
        <w:rPr>
          <w:rFonts w:asciiTheme="minorHAnsi" w:hAnsiTheme="minorHAnsi"/>
          <w:sz w:val="22"/>
          <w:szCs w:val="22"/>
        </w:rPr>
        <w:t>this statement.</w:t>
      </w:r>
    </w:p>
    <w:p w14:paraId="28CFA51C" w14:textId="77777777" w:rsidR="00787B44" w:rsidRDefault="00787B44" w:rsidP="00443EAF">
      <w:pPr>
        <w:pStyle w:val="Heading1"/>
      </w:pPr>
    </w:p>
    <w:p w14:paraId="40FDE722" w14:textId="77777777" w:rsidR="00787B44" w:rsidRDefault="00787B44" w:rsidP="00443EAF">
      <w:pPr>
        <w:pStyle w:val="Heading1"/>
      </w:pPr>
    </w:p>
    <w:p w14:paraId="6798D386" w14:textId="77777777" w:rsidR="00787B44" w:rsidRDefault="00787B44" w:rsidP="00787B44"/>
    <w:p w14:paraId="6CF7A327" w14:textId="77777777" w:rsidR="00787B44" w:rsidRDefault="00787B44" w:rsidP="00787B44"/>
    <w:p w14:paraId="733B0973" w14:textId="77777777" w:rsidR="00787B44" w:rsidRDefault="00787B44" w:rsidP="00787B44"/>
    <w:p w14:paraId="3AE66B67" w14:textId="77777777" w:rsidR="00787B44" w:rsidRDefault="00787B44" w:rsidP="00787B44"/>
    <w:p w14:paraId="34B3142D" w14:textId="77777777" w:rsidR="00787B44" w:rsidRDefault="00787B44" w:rsidP="00787B44"/>
    <w:p w14:paraId="5519E04F" w14:textId="77777777" w:rsidR="00787B44" w:rsidRDefault="00787B44" w:rsidP="00787B44"/>
    <w:p w14:paraId="5CBF07FF" w14:textId="77777777" w:rsidR="00787B44" w:rsidRDefault="00787B44" w:rsidP="00787B44"/>
    <w:p w14:paraId="27A29E8D" w14:textId="77777777" w:rsidR="00787B44" w:rsidRDefault="00787B44" w:rsidP="00787B44"/>
    <w:p w14:paraId="24A943B1" w14:textId="77777777" w:rsidR="00787B44" w:rsidRDefault="00787B44" w:rsidP="00787B44"/>
    <w:p w14:paraId="0C96A72F" w14:textId="77777777" w:rsidR="00787B44" w:rsidRDefault="00787B44" w:rsidP="00787B44"/>
    <w:p w14:paraId="0A986D4D" w14:textId="77777777" w:rsidR="00787B44" w:rsidRDefault="00787B44" w:rsidP="00787B44"/>
    <w:p w14:paraId="14A5D16E" w14:textId="77777777" w:rsidR="00787B44" w:rsidRDefault="00787B44" w:rsidP="00787B44"/>
    <w:p w14:paraId="3860341D" w14:textId="77777777" w:rsidR="00787B44" w:rsidRDefault="00787B44" w:rsidP="00787B44"/>
    <w:p w14:paraId="5DBC1D7E" w14:textId="77777777" w:rsidR="00787B44" w:rsidRDefault="00787B44" w:rsidP="00787B44"/>
    <w:p w14:paraId="14C44644" w14:textId="77777777" w:rsidR="00787B44" w:rsidRDefault="00787B44" w:rsidP="00787B44"/>
    <w:p w14:paraId="48C849DD" w14:textId="77777777" w:rsidR="00787B44" w:rsidRDefault="00787B44" w:rsidP="00787B44"/>
    <w:p w14:paraId="46C66EBD" w14:textId="77777777" w:rsidR="00787B44" w:rsidRDefault="00787B44" w:rsidP="00787B44"/>
    <w:p w14:paraId="45931F21" w14:textId="77777777" w:rsidR="00787B44" w:rsidRDefault="00787B44" w:rsidP="00787B44"/>
    <w:p w14:paraId="58474C29" w14:textId="77777777" w:rsidR="00550ADD" w:rsidRDefault="00550ADD" w:rsidP="00787B44"/>
    <w:p w14:paraId="4241AA65" w14:textId="77777777" w:rsidR="00550ADD" w:rsidRDefault="00550ADD" w:rsidP="00787B44"/>
    <w:p w14:paraId="6C32B4F0" w14:textId="77777777" w:rsidR="00550ADD" w:rsidRDefault="00550ADD" w:rsidP="00787B44"/>
    <w:p w14:paraId="0016CEFB" w14:textId="77777777" w:rsidR="00140A36" w:rsidRPr="00CD4EDF" w:rsidRDefault="00A41285" w:rsidP="00443EAF">
      <w:pPr>
        <w:pStyle w:val="Heading1"/>
      </w:pPr>
      <w:bookmarkStart w:id="8" w:name="_Toc426117209"/>
      <w:r>
        <w:lastRenderedPageBreak/>
        <w:t>6.</w:t>
      </w:r>
      <w:r>
        <w:tab/>
      </w:r>
      <w:r w:rsidR="00140A36" w:rsidRPr="00D9453F">
        <w:rPr>
          <w:u w:val="single"/>
        </w:rPr>
        <w:t>Electricity Distribution Rebates</w:t>
      </w:r>
      <w:bookmarkEnd w:id="8"/>
    </w:p>
    <w:p w14:paraId="060F1DAC" w14:textId="77777777"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14:paraId="0CF20297" w14:textId="77777777" w:rsidR="00393ABA" w:rsidRPr="00393ABA" w:rsidRDefault="00393ABA" w:rsidP="00393ABA">
      <w:pPr>
        <w:pStyle w:val="Default"/>
        <w:rPr>
          <w:rFonts w:asciiTheme="minorHAnsi" w:hAnsiTheme="minorHAnsi"/>
        </w:rPr>
      </w:pPr>
    </w:p>
    <w:p w14:paraId="3B5A1758" w14:textId="77777777" w:rsidR="00393ABA" w:rsidRDefault="00787B44" w:rsidP="00393ABA">
      <w:pPr>
        <w:pStyle w:val="Default"/>
        <w:rPr>
          <w:rFonts w:asciiTheme="minorHAnsi" w:hAnsiTheme="minorHAnsi"/>
          <w:sz w:val="22"/>
          <w:szCs w:val="22"/>
        </w:rPr>
      </w:pPr>
      <w:r>
        <w:rPr>
          <w:rFonts w:asciiTheme="minorHAnsi" w:hAnsiTheme="minorHAnsi"/>
          <w:sz w:val="22"/>
          <w:szCs w:val="22"/>
        </w:rPr>
        <w:t xml:space="preserve">6.1. </w:t>
      </w:r>
      <w:r w:rsidR="00393ABA" w:rsidRPr="00393ABA">
        <w:rPr>
          <w:rFonts w:asciiTheme="minorHAnsi" w:hAnsiTheme="minorHAnsi"/>
          <w:sz w:val="22"/>
          <w:szCs w:val="22"/>
        </w:rPr>
        <w:t xml:space="preserve">We have neither given nor announced any DUoS rebates to Users in the 12 months preceding the date of publication of this revision of the statement. </w:t>
      </w:r>
    </w:p>
    <w:p w14:paraId="0A3E4D01" w14:textId="77777777" w:rsidR="008D41A7" w:rsidRPr="00393ABA" w:rsidRDefault="008D41A7" w:rsidP="00393ABA">
      <w:pPr>
        <w:pStyle w:val="Default"/>
        <w:rPr>
          <w:rFonts w:asciiTheme="minorHAnsi" w:hAnsiTheme="minorHAnsi"/>
          <w:sz w:val="22"/>
          <w:szCs w:val="22"/>
        </w:rPr>
      </w:pPr>
    </w:p>
    <w:p w14:paraId="131CCBF3" w14:textId="77777777" w:rsidR="00140A36" w:rsidRPr="00CD4EDF" w:rsidRDefault="00A41285" w:rsidP="00443EAF">
      <w:pPr>
        <w:pStyle w:val="Heading1"/>
      </w:pPr>
      <w:bookmarkStart w:id="9" w:name="_Toc426117210"/>
      <w:r>
        <w:t>7.</w:t>
      </w:r>
      <w:r>
        <w:tab/>
      </w:r>
      <w:r w:rsidR="00140A36" w:rsidRPr="00D9453F">
        <w:rPr>
          <w:u w:val="single"/>
        </w:rPr>
        <w:t>Accounting and Administration Services</w:t>
      </w:r>
      <w:bookmarkEnd w:id="9"/>
    </w:p>
    <w:p w14:paraId="52C8DFAD" w14:textId="77777777" w:rsidR="00210527" w:rsidRPr="00CD4EDF" w:rsidRDefault="00210527" w:rsidP="00140A36">
      <w:pPr>
        <w:autoSpaceDE w:val="0"/>
        <w:autoSpaceDN w:val="0"/>
        <w:adjustRightInd w:val="0"/>
        <w:spacing w:after="0" w:line="240" w:lineRule="auto"/>
        <w:rPr>
          <w:rFonts w:ascii="Book Antiqua" w:hAnsi="Book Antiqua" w:cs="Helvetica"/>
          <w:color w:val="000000"/>
          <w:sz w:val="20"/>
          <w:szCs w:val="20"/>
        </w:rPr>
      </w:pPr>
    </w:p>
    <w:p w14:paraId="7F39C4BD" w14:textId="77777777" w:rsidR="00393ABA" w:rsidRPr="00393ABA" w:rsidRDefault="00393ABA" w:rsidP="00393ABA">
      <w:pPr>
        <w:pStyle w:val="Default"/>
        <w:rPr>
          <w:rFonts w:asciiTheme="minorHAnsi" w:hAnsiTheme="minorHAnsi"/>
        </w:rPr>
      </w:pPr>
    </w:p>
    <w:p w14:paraId="663D7F25" w14:textId="77777777" w:rsidR="00393ABA" w:rsidRPr="00393ABA" w:rsidRDefault="00787B44" w:rsidP="00393ABA">
      <w:pPr>
        <w:pStyle w:val="Default"/>
        <w:spacing w:after="273"/>
        <w:rPr>
          <w:rFonts w:asciiTheme="minorHAnsi" w:hAnsiTheme="minorHAnsi"/>
          <w:sz w:val="22"/>
          <w:szCs w:val="22"/>
        </w:rPr>
      </w:pPr>
      <w:r>
        <w:rPr>
          <w:rFonts w:asciiTheme="minorHAnsi" w:hAnsiTheme="minorHAnsi"/>
          <w:sz w:val="22"/>
          <w:szCs w:val="22"/>
        </w:rPr>
        <w:t xml:space="preserve">7.1. </w:t>
      </w:r>
      <w:r w:rsidR="00393ABA" w:rsidRPr="00393ABA">
        <w:rPr>
          <w:rFonts w:asciiTheme="minorHAnsi" w:hAnsiTheme="minorHAnsi"/>
          <w:sz w:val="22"/>
          <w:szCs w:val="22"/>
        </w:rPr>
        <w:t xml:space="preserve">We reserve the right to impose payment default remedies. The remedies are as set out in DCUSA where applicable or else as detailed in the following paragraph. </w:t>
      </w:r>
    </w:p>
    <w:p w14:paraId="60438B47" w14:textId="77777777" w:rsidR="00393ABA" w:rsidRPr="00393ABA" w:rsidRDefault="00787B44" w:rsidP="00393ABA">
      <w:pPr>
        <w:pStyle w:val="Default"/>
        <w:spacing w:after="273"/>
        <w:rPr>
          <w:rFonts w:asciiTheme="minorHAnsi" w:hAnsiTheme="minorHAnsi"/>
          <w:sz w:val="22"/>
          <w:szCs w:val="22"/>
        </w:rPr>
      </w:pPr>
      <w:r>
        <w:rPr>
          <w:rFonts w:asciiTheme="minorHAnsi" w:hAnsiTheme="minorHAnsi"/>
          <w:sz w:val="22"/>
          <w:szCs w:val="22"/>
        </w:rPr>
        <w:t xml:space="preserve">7.2. </w:t>
      </w:r>
      <w:r w:rsidR="00393ABA" w:rsidRPr="00393ABA">
        <w:rPr>
          <w:rFonts w:asciiTheme="minorHAnsi" w:hAnsiTheme="minorHAnsi"/>
          <w:sz w:val="22"/>
          <w:szCs w:val="22"/>
        </w:rPr>
        <w:t xml:space="preserve">If any invoices that are not subject to a valid dispute remain unpaid on the due date, late payment interest (calculated at base rate plus 8%) and administration charges may be imposed. </w:t>
      </w:r>
    </w:p>
    <w:p w14:paraId="1A42FEA8" w14:textId="77777777" w:rsidR="00393ABA" w:rsidRPr="00393ABA" w:rsidRDefault="00393ABA" w:rsidP="00393ABA">
      <w:pPr>
        <w:pStyle w:val="Default"/>
        <w:rPr>
          <w:rFonts w:asciiTheme="minorHAnsi" w:hAnsiTheme="minorHAnsi"/>
          <w:sz w:val="22"/>
          <w:szCs w:val="22"/>
        </w:rPr>
      </w:pPr>
      <w:r>
        <w:rPr>
          <w:rFonts w:asciiTheme="minorHAnsi" w:hAnsiTheme="minorHAnsi"/>
          <w:sz w:val="22"/>
          <w:szCs w:val="22"/>
        </w:rPr>
        <w:t>7</w:t>
      </w:r>
      <w:r w:rsidR="00787B44">
        <w:rPr>
          <w:rFonts w:asciiTheme="minorHAnsi" w:hAnsiTheme="minorHAnsi"/>
          <w:sz w:val="22"/>
          <w:szCs w:val="22"/>
        </w:rPr>
        <w:t xml:space="preserve">.3. </w:t>
      </w:r>
      <w:r w:rsidRPr="00393ABA">
        <w:rPr>
          <w:rFonts w:asciiTheme="minorHAnsi" w:hAnsiTheme="minorHAnsi"/>
          <w:sz w:val="22"/>
          <w:szCs w:val="22"/>
        </w:rPr>
        <w:t xml:space="preserve">Our administration charges are detailed in the following table. These charges are set at a level which is in line with the Late Payment of Commercial Debts Act; </w:t>
      </w:r>
    </w:p>
    <w:p w14:paraId="17304109" w14:textId="77777777" w:rsidR="00A41285" w:rsidRPr="0069787F" w:rsidRDefault="00A41285" w:rsidP="00140A36">
      <w:pPr>
        <w:autoSpaceDE w:val="0"/>
        <w:autoSpaceDN w:val="0"/>
        <w:adjustRightInd w:val="0"/>
        <w:spacing w:after="0" w:line="240" w:lineRule="auto"/>
        <w:rPr>
          <w:rFonts w:cs="Helvetica-Bold"/>
          <w:b/>
          <w:bCs/>
          <w:color w:val="000000"/>
        </w:rPr>
      </w:pPr>
    </w:p>
    <w:p w14:paraId="313BAD1E" w14:textId="77777777" w:rsidR="00A41285" w:rsidRPr="0069787F" w:rsidRDefault="00A41285" w:rsidP="00A41285">
      <w:pPr>
        <w:autoSpaceDE w:val="0"/>
        <w:autoSpaceDN w:val="0"/>
        <w:adjustRightInd w:val="0"/>
        <w:spacing w:after="0" w:line="240" w:lineRule="auto"/>
        <w:rPr>
          <w:rFonts w:cs="Helvetica-Bold"/>
          <w:b/>
          <w:bCs/>
          <w:color w:val="000000"/>
        </w:rPr>
      </w:pPr>
      <w:r w:rsidRPr="0069787F">
        <w:rPr>
          <w:rFonts w:cs="Helvetica-Bold"/>
          <w:b/>
          <w:bCs/>
          <w:color w:val="000000"/>
        </w:rPr>
        <w:t xml:space="preserve">Size of Unpaid Debt </w:t>
      </w:r>
      <w:r w:rsidRPr="0069787F">
        <w:rPr>
          <w:rFonts w:cs="Helvetica-Bold"/>
          <w:b/>
          <w:bCs/>
          <w:color w:val="000000"/>
        </w:rPr>
        <w:tab/>
      </w:r>
      <w:r w:rsidRPr="0069787F">
        <w:rPr>
          <w:rFonts w:cs="Helvetica-Bold"/>
          <w:b/>
          <w:bCs/>
          <w:color w:val="000000"/>
        </w:rPr>
        <w:tab/>
        <w:t>Late Payment Fee</w:t>
      </w:r>
    </w:p>
    <w:p w14:paraId="596D303D" w14:textId="77777777" w:rsidR="00A41285" w:rsidRPr="0069787F" w:rsidRDefault="00A41285" w:rsidP="00A41285">
      <w:pPr>
        <w:autoSpaceDE w:val="0"/>
        <w:autoSpaceDN w:val="0"/>
        <w:adjustRightInd w:val="0"/>
        <w:spacing w:after="0" w:line="240" w:lineRule="auto"/>
        <w:rPr>
          <w:rFonts w:cs="Helvetica"/>
          <w:color w:val="000000"/>
        </w:rPr>
      </w:pPr>
      <w:r w:rsidRPr="0069787F">
        <w:rPr>
          <w:rFonts w:cs="Helvetica"/>
          <w:color w:val="000000"/>
        </w:rPr>
        <w:t xml:space="preserve">Up to £999.99 </w:t>
      </w:r>
      <w:r w:rsidRPr="0069787F">
        <w:rPr>
          <w:rFonts w:cs="Helvetica"/>
          <w:color w:val="000000"/>
        </w:rPr>
        <w:tab/>
      </w:r>
      <w:r w:rsidRPr="0069787F">
        <w:rPr>
          <w:rFonts w:cs="Helvetica"/>
          <w:color w:val="000000"/>
        </w:rPr>
        <w:tab/>
      </w:r>
      <w:r w:rsidRPr="0069787F">
        <w:rPr>
          <w:rFonts w:cs="Helvetica"/>
          <w:color w:val="000000"/>
        </w:rPr>
        <w:tab/>
        <w:t>£40.00</w:t>
      </w:r>
    </w:p>
    <w:p w14:paraId="4CE073EB" w14:textId="77777777" w:rsidR="00A41285" w:rsidRPr="0069787F" w:rsidRDefault="00A41285" w:rsidP="00A41285">
      <w:pPr>
        <w:autoSpaceDE w:val="0"/>
        <w:autoSpaceDN w:val="0"/>
        <w:adjustRightInd w:val="0"/>
        <w:spacing w:after="0" w:line="240" w:lineRule="auto"/>
        <w:rPr>
          <w:rFonts w:cs="Helvetica"/>
          <w:color w:val="000000"/>
        </w:rPr>
      </w:pPr>
      <w:r w:rsidRPr="0069787F">
        <w:rPr>
          <w:rFonts w:cs="Helvetica"/>
          <w:color w:val="000000"/>
        </w:rPr>
        <w:t xml:space="preserve">£1,000 to £9,999.99 </w:t>
      </w:r>
      <w:r w:rsidRPr="0069787F">
        <w:rPr>
          <w:rFonts w:cs="Helvetica"/>
          <w:color w:val="000000"/>
        </w:rPr>
        <w:tab/>
      </w:r>
      <w:r w:rsidRPr="0069787F">
        <w:rPr>
          <w:rFonts w:cs="Helvetica"/>
          <w:color w:val="000000"/>
        </w:rPr>
        <w:tab/>
        <w:t>£70.00</w:t>
      </w:r>
    </w:p>
    <w:p w14:paraId="59CBDD74" w14:textId="77777777" w:rsidR="00A41285" w:rsidRPr="0069787F" w:rsidRDefault="00A41285" w:rsidP="00A41285">
      <w:pPr>
        <w:autoSpaceDE w:val="0"/>
        <w:autoSpaceDN w:val="0"/>
        <w:adjustRightInd w:val="0"/>
        <w:spacing w:after="0" w:line="240" w:lineRule="auto"/>
        <w:rPr>
          <w:rFonts w:cs="Helvetica"/>
          <w:color w:val="000000"/>
        </w:rPr>
      </w:pPr>
      <w:r w:rsidRPr="0069787F">
        <w:rPr>
          <w:rFonts w:cs="Helvetica"/>
          <w:color w:val="000000"/>
        </w:rPr>
        <w:t xml:space="preserve">£10,000 or more </w:t>
      </w:r>
      <w:r w:rsidRPr="0069787F">
        <w:rPr>
          <w:rFonts w:cs="Helvetica"/>
          <w:color w:val="000000"/>
        </w:rPr>
        <w:tab/>
      </w:r>
      <w:r w:rsidRPr="0069787F">
        <w:rPr>
          <w:rFonts w:cs="Helvetica"/>
          <w:color w:val="000000"/>
        </w:rPr>
        <w:tab/>
        <w:t>£100.00</w:t>
      </w:r>
    </w:p>
    <w:p w14:paraId="7CFB983C" w14:textId="77777777" w:rsidR="00A41285" w:rsidRPr="0069787F" w:rsidRDefault="00A41285" w:rsidP="00A41285">
      <w:pPr>
        <w:autoSpaceDE w:val="0"/>
        <w:autoSpaceDN w:val="0"/>
        <w:adjustRightInd w:val="0"/>
        <w:spacing w:after="0" w:line="240" w:lineRule="auto"/>
        <w:rPr>
          <w:rFonts w:cs="Helvetica-Bold"/>
          <w:b/>
          <w:bCs/>
          <w:color w:val="000000"/>
        </w:rPr>
      </w:pPr>
    </w:p>
    <w:p w14:paraId="5B0C219E" w14:textId="77777777" w:rsidR="00A41285" w:rsidRPr="00CD4EDF" w:rsidRDefault="00A41285" w:rsidP="00443EAF">
      <w:pPr>
        <w:pStyle w:val="Heading1"/>
      </w:pPr>
      <w:bookmarkStart w:id="10" w:name="_Toc426117211"/>
      <w:r>
        <w:t>8.</w:t>
      </w:r>
      <w:r>
        <w:tab/>
      </w:r>
      <w:r w:rsidRPr="00D9453F">
        <w:rPr>
          <w:u w:val="single"/>
        </w:rPr>
        <w:t>Charges for Electrical Plant Provided Ancillary to the Grant of Use of System</w:t>
      </w:r>
      <w:bookmarkEnd w:id="10"/>
    </w:p>
    <w:p w14:paraId="7B7292EC" w14:textId="77777777" w:rsidR="00A41285" w:rsidRDefault="00A41285" w:rsidP="00A41285">
      <w:pPr>
        <w:autoSpaceDE w:val="0"/>
        <w:autoSpaceDN w:val="0"/>
        <w:adjustRightInd w:val="0"/>
        <w:spacing w:after="0" w:line="240" w:lineRule="auto"/>
        <w:rPr>
          <w:rFonts w:ascii="Book Antiqua" w:hAnsi="Book Antiqua" w:cs="Helvetica-Bold"/>
          <w:b/>
          <w:bCs/>
          <w:color w:val="000000"/>
          <w:sz w:val="32"/>
          <w:szCs w:val="32"/>
        </w:rPr>
      </w:pPr>
    </w:p>
    <w:p w14:paraId="757B507B" w14:textId="77777777" w:rsidR="00A41285" w:rsidRPr="0069787F" w:rsidRDefault="00787B44" w:rsidP="00A41285">
      <w:pPr>
        <w:autoSpaceDE w:val="0"/>
        <w:autoSpaceDN w:val="0"/>
        <w:adjustRightInd w:val="0"/>
        <w:spacing w:after="0" w:line="240" w:lineRule="auto"/>
        <w:rPr>
          <w:rFonts w:cs="Helvetica"/>
          <w:color w:val="000000"/>
          <w:szCs w:val="20"/>
        </w:rPr>
      </w:pPr>
      <w:r>
        <w:rPr>
          <w:rFonts w:cs="Helvetica"/>
          <w:color w:val="000000"/>
          <w:szCs w:val="20"/>
        </w:rPr>
        <w:t>8.1. None</w:t>
      </w:r>
    </w:p>
    <w:p w14:paraId="16CB7C7E" w14:textId="77777777" w:rsidR="008D0F41" w:rsidRDefault="008D0F41" w:rsidP="00D9453F">
      <w:pPr>
        <w:autoSpaceDE w:val="0"/>
        <w:autoSpaceDN w:val="0"/>
        <w:adjustRightInd w:val="0"/>
        <w:spacing w:after="0" w:line="240" w:lineRule="auto"/>
        <w:rPr>
          <w:rFonts w:ascii="Book Antiqua" w:hAnsi="Book Antiqua" w:cs="Helvetica-Bold"/>
          <w:b/>
          <w:bCs/>
          <w:color w:val="000000"/>
          <w:sz w:val="32"/>
          <w:szCs w:val="32"/>
        </w:rPr>
      </w:pPr>
    </w:p>
    <w:p w14:paraId="1773A05A"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49DB6779"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011D7171"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61959F6A"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44119B85"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728825D7"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6C2091DA"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38885600"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615816F0"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0B74E655"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1EB508FF"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2226E85E" w14:textId="77777777" w:rsidR="00393ABA" w:rsidRDefault="00393ABA" w:rsidP="00D9453F">
      <w:pPr>
        <w:autoSpaceDE w:val="0"/>
        <w:autoSpaceDN w:val="0"/>
        <w:adjustRightInd w:val="0"/>
        <w:spacing w:after="0" w:line="240" w:lineRule="auto"/>
        <w:rPr>
          <w:rFonts w:ascii="Book Antiqua" w:hAnsi="Book Antiqua" w:cs="Helvetica-Bold"/>
          <w:b/>
          <w:bCs/>
          <w:color w:val="000000"/>
          <w:sz w:val="32"/>
          <w:szCs w:val="32"/>
        </w:rPr>
      </w:pPr>
    </w:p>
    <w:p w14:paraId="3009B677" w14:textId="77777777" w:rsidR="009715CB" w:rsidRDefault="009715CB" w:rsidP="00D9453F">
      <w:pPr>
        <w:autoSpaceDE w:val="0"/>
        <w:autoSpaceDN w:val="0"/>
        <w:adjustRightInd w:val="0"/>
        <w:spacing w:after="0" w:line="240" w:lineRule="auto"/>
        <w:rPr>
          <w:rFonts w:ascii="Book Antiqua" w:hAnsi="Book Antiqua" w:cs="Helvetica-Bold"/>
          <w:b/>
          <w:bCs/>
          <w:color w:val="000000"/>
          <w:sz w:val="32"/>
          <w:szCs w:val="32"/>
        </w:rPr>
      </w:pPr>
    </w:p>
    <w:p w14:paraId="49AD2DCC" w14:textId="77777777" w:rsidR="00A41285" w:rsidRPr="00393ABA" w:rsidRDefault="00393ABA" w:rsidP="00393ABA">
      <w:pPr>
        <w:pStyle w:val="Heading1"/>
        <w:rPr>
          <w:u w:val="single"/>
        </w:rPr>
      </w:pPr>
      <w:bookmarkStart w:id="11" w:name="_Toc426117212"/>
      <w:r w:rsidRPr="00393ABA">
        <w:rPr>
          <w:u w:val="single"/>
        </w:rPr>
        <w:lastRenderedPageBreak/>
        <w:t>Appendix 1 – Glossary</w:t>
      </w:r>
      <w:bookmarkEnd w:id="11"/>
    </w:p>
    <w:p w14:paraId="13C2C82C" w14:textId="77777777" w:rsidR="00393ABA" w:rsidRPr="0069787F" w:rsidRDefault="00393ABA" w:rsidP="00A41285">
      <w:pPr>
        <w:autoSpaceDE w:val="0"/>
        <w:autoSpaceDN w:val="0"/>
        <w:adjustRightInd w:val="0"/>
        <w:spacing w:after="0" w:line="240" w:lineRule="auto"/>
        <w:rPr>
          <w:rFonts w:cs="Helvetica"/>
          <w:color w:val="000000"/>
        </w:rPr>
      </w:pPr>
    </w:p>
    <w:p w14:paraId="32860A64" w14:textId="77777777" w:rsidR="00393ABA" w:rsidRPr="00393ABA" w:rsidRDefault="00393ABA" w:rsidP="00393ABA">
      <w:pPr>
        <w:autoSpaceDE w:val="0"/>
        <w:autoSpaceDN w:val="0"/>
        <w:adjustRightInd w:val="0"/>
        <w:spacing w:after="0" w:line="240" w:lineRule="auto"/>
        <w:rPr>
          <w:rFonts w:ascii="Tahoma" w:hAnsi="Tahoma" w:cs="Tahoma"/>
          <w:color w:val="000000"/>
          <w:sz w:val="24"/>
          <w:szCs w:val="24"/>
        </w:rPr>
      </w:pPr>
    </w:p>
    <w:p w14:paraId="5B495FF7" w14:textId="77777777" w:rsid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The following definitions, which can extend to grammatical variations and cognate expressions, are included to aid understanding: </w:t>
      </w:r>
    </w:p>
    <w:p w14:paraId="28F36511" w14:textId="77777777" w:rsidR="00393ABA" w:rsidRPr="00393ABA" w:rsidRDefault="00393ABA" w:rsidP="00393ABA">
      <w:pPr>
        <w:autoSpaceDE w:val="0"/>
        <w:autoSpaceDN w:val="0"/>
        <w:adjustRightInd w:val="0"/>
        <w:spacing w:after="0" w:line="240" w:lineRule="auto"/>
        <w:rPr>
          <w:rFonts w:cs="Tahom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7"/>
        <w:gridCol w:w="4227"/>
      </w:tblGrid>
      <w:tr w:rsidR="00393ABA" w:rsidRPr="00393ABA" w14:paraId="7C98FA9D" w14:textId="77777777" w:rsidTr="00393ABA">
        <w:trPr>
          <w:trHeight w:val="107"/>
        </w:trPr>
        <w:tc>
          <w:tcPr>
            <w:tcW w:w="4227" w:type="dxa"/>
          </w:tcPr>
          <w:p w14:paraId="1C790AF4"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b/>
                <w:bCs/>
                <w:color w:val="000000"/>
              </w:rPr>
              <w:t xml:space="preserve">Term </w:t>
            </w:r>
          </w:p>
        </w:tc>
        <w:tc>
          <w:tcPr>
            <w:tcW w:w="4227" w:type="dxa"/>
          </w:tcPr>
          <w:p w14:paraId="6AA5FAF2"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b/>
                <w:bCs/>
                <w:color w:val="000000"/>
              </w:rPr>
              <w:t xml:space="preserve">Definition </w:t>
            </w:r>
          </w:p>
        </w:tc>
      </w:tr>
      <w:tr w:rsidR="00393ABA" w:rsidRPr="00393ABA" w14:paraId="46C7FFA4" w14:textId="77777777" w:rsidTr="00393ABA">
        <w:trPr>
          <w:trHeight w:val="637"/>
        </w:trPr>
        <w:tc>
          <w:tcPr>
            <w:tcW w:w="4227" w:type="dxa"/>
          </w:tcPr>
          <w:p w14:paraId="13D35E09"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All-the-way Charge </w:t>
            </w:r>
          </w:p>
        </w:tc>
        <w:tc>
          <w:tcPr>
            <w:tcW w:w="4227" w:type="dxa"/>
          </w:tcPr>
          <w:p w14:paraId="2ECB42A2"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 charge that is applicable to an end user rather than an LDNO. An end user in this context is a Supplier/User who has a registered MPAN or MSID and is using the Distribution System to transport energy on behalf of a Customer. </w:t>
            </w:r>
          </w:p>
        </w:tc>
      </w:tr>
      <w:tr w:rsidR="00393ABA" w:rsidRPr="00393ABA" w14:paraId="5A3FA77E" w14:textId="77777777" w:rsidTr="00393ABA">
        <w:trPr>
          <w:trHeight w:val="668"/>
        </w:trPr>
        <w:tc>
          <w:tcPr>
            <w:tcW w:w="4227" w:type="dxa"/>
          </w:tcPr>
          <w:p w14:paraId="01A718AA"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Balancing and Settlement Code (BSC) </w:t>
            </w:r>
          </w:p>
        </w:tc>
        <w:tc>
          <w:tcPr>
            <w:tcW w:w="4227" w:type="dxa"/>
          </w:tcPr>
          <w:p w14:paraId="0269DC52"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The BSC contains the governance arrangements for electricity balancing and settlement in Great Britain. An overview document is available from </w:t>
            </w:r>
          </w:p>
          <w:p w14:paraId="3235EFDC"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www.elexon.co.uk/ELEXON Documents/trading_arrangements.pdf. </w:t>
            </w:r>
          </w:p>
        </w:tc>
      </w:tr>
      <w:tr w:rsidR="00393ABA" w:rsidRPr="00393ABA" w14:paraId="3CCBCE71" w14:textId="77777777" w:rsidTr="00393ABA">
        <w:trPr>
          <w:trHeight w:val="373"/>
        </w:trPr>
        <w:tc>
          <w:tcPr>
            <w:tcW w:w="4227" w:type="dxa"/>
          </w:tcPr>
          <w:p w14:paraId="570972CA"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Common Distribution Charging Methodology (CDCM) </w:t>
            </w:r>
          </w:p>
        </w:tc>
        <w:tc>
          <w:tcPr>
            <w:tcW w:w="4227" w:type="dxa"/>
          </w:tcPr>
          <w:p w14:paraId="208581A8"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The CDCM used for calculating charges to Designated Properties as required by standard licence condition 13A of the electricity distribution licence. </w:t>
            </w:r>
          </w:p>
        </w:tc>
      </w:tr>
      <w:tr w:rsidR="00393ABA" w:rsidRPr="00393ABA" w14:paraId="65BA4D0A" w14:textId="77777777" w:rsidTr="00393ABA">
        <w:trPr>
          <w:trHeight w:val="270"/>
        </w:trPr>
        <w:tc>
          <w:tcPr>
            <w:tcW w:w="4227" w:type="dxa"/>
          </w:tcPr>
          <w:p w14:paraId="71BB98AB"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Central volume allocation (CVA) </w:t>
            </w:r>
          </w:p>
        </w:tc>
        <w:tc>
          <w:tcPr>
            <w:tcW w:w="4227" w:type="dxa"/>
          </w:tcPr>
          <w:p w14:paraId="44DCCD3C"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As defined in the BSC. </w:t>
            </w:r>
          </w:p>
        </w:tc>
      </w:tr>
      <w:tr w:rsidR="00393ABA" w:rsidRPr="00393ABA" w14:paraId="7CADC465" w14:textId="77777777" w:rsidTr="00393ABA">
        <w:trPr>
          <w:trHeight w:val="1862"/>
        </w:trPr>
        <w:tc>
          <w:tcPr>
            <w:tcW w:w="4227" w:type="dxa"/>
          </w:tcPr>
          <w:p w14:paraId="372A5518"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Customer </w:t>
            </w:r>
          </w:p>
        </w:tc>
        <w:tc>
          <w:tcPr>
            <w:tcW w:w="4227" w:type="dxa"/>
          </w:tcPr>
          <w:p w14:paraId="6E0F591A"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 person to whom a User proposes to supply, or for the time being supplies, electricity through an exit point, or from who, a User or any relevant exempt supplier, is entitled to recover charges, compensation or an account of profits in respect of electricity supplied through an exit point; </w:t>
            </w:r>
          </w:p>
          <w:p w14:paraId="5DDA1D0D"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Or </w:t>
            </w:r>
          </w:p>
          <w:p w14:paraId="13995710"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 person from whom a User purchases, or proposes to purchase, electricity, at an entry point (who may from time to time be supplied with electricity as a Customer of that User (or another electricity supplier) through an exit point). </w:t>
            </w:r>
          </w:p>
        </w:tc>
      </w:tr>
      <w:tr w:rsidR="00393ABA" w:rsidRPr="00393ABA" w14:paraId="5083CC83" w14:textId="77777777" w:rsidTr="00393ABA">
        <w:trPr>
          <w:trHeight w:val="239"/>
        </w:trPr>
        <w:tc>
          <w:tcPr>
            <w:tcW w:w="4227" w:type="dxa"/>
          </w:tcPr>
          <w:p w14:paraId="315450C0"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Designated EHV Properties </w:t>
            </w:r>
          </w:p>
        </w:tc>
        <w:tc>
          <w:tcPr>
            <w:tcW w:w="4227" w:type="dxa"/>
          </w:tcPr>
          <w:p w14:paraId="0AAAAB8C"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As defined in standard condition 13B of the electricity distribution licence. </w:t>
            </w:r>
          </w:p>
        </w:tc>
      </w:tr>
      <w:tr w:rsidR="00393ABA" w:rsidRPr="00393ABA" w14:paraId="02C5FC34" w14:textId="77777777" w:rsidTr="00393ABA">
        <w:trPr>
          <w:trHeight w:val="239"/>
        </w:trPr>
        <w:tc>
          <w:tcPr>
            <w:tcW w:w="4227" w:type="dxa"/>
          </w:tcPr>
          <w:p w14:paraId="6B498F56"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Designated Properties </w:t>
            </w:r>
          </w:p>
        </w:tc>
        <w:tc>
          <w:tcPr>
            <w:tcW w:w="4227" w:type="dxa"/>
          </w:tcPr>
          <w:p w14:paraId="000CB69B" w14:textId="77777777" w:rsidR="00393ABA" w:rsidRPr="00393ABA" w:rsidRDefault="00393ABA" w:rsidP="00393ABA">
            <w:pPr>
              <w:autoSpaceDE w:val="0"/>
              <w:autoSpaceDN w:val="0"/>
              <w:adjustRightInd w:val="0"/>
              <w:spacing w:after="0" w:line="240" w:lineRule="auto"/>
              <w:rPr>
                <w:rFonts w:cs="Tahoma"/>
                <w:color w:val="000000"/>
              </w:rPr>
            </w:pPr>
            <w:r w:rsidRPr="00393ABA">
              <w:rPr>
                <w:rFonts w:cs="Tahoma"/>
                <w:color w:val="000000"/>
              </w:rPr>
              <w:t xml:space="preserve">As defined in standard condition 13A of the electricity distribution licence. </w:t>
            </w:r>
          </w:p>
        </w:tc>
      </w:tr>
    </w:tbl>
    <w:p w14:paraId="00690A99" w14:textId="77777777" w:rsidR="008D0F41" w:rsidRDefault="008D0F41" w:rsidP="00140A36">
      <w:pPr>
        <w:autoSpaceDE w:val="0"/>
        <w:autoSpaceDN w:val="0"/>
        <w:adjustRightInd w:val="0"/>
        <w:spacing w:after="0" w:line="240" w:lineRule="auto"/>
        <w:rPr>
          <w:rFonts w:cs="Helvetica"/>
          <w:color w:val="000000"/>
          <w:sz w:val="20"/>
          <w:szCs w:val="20"/>
        </w:rPr>
      </w:pPr>
    </w:p>
    <w:p w14:paraId="58C83716" w14:textId="77777777" w:rsidR="008D0F41" w:rsidRDefault="008D0F41" w:rsidP="00140A36">
      <w:pPr>
        <w:autoSpaceDE w:val="0"/>
        <w:autoSpaceDN w:val="0"/>
        <w:adjustRightInd w:val="0"/>
        <w:spacing w:after="0" w:line="240" w:lineRule="auto"/>
        <w:rPr>
          <w:rFonts w:cs="Helvetica"/>
          <w:color w:val="000000"/>
          <w:sz w:val="20"/>
          <w:szCs w:val="20"/>
        </w:rPr>
      </w:pPr>
    </w:p>
    <w:p w14:paraId="13F634C9" w14:textId="77777777" w:rsidR="008D0F41" w:rsidRDefault="008D0F41" w:rsidP="00140A36">
      <w:pPr>
        <w:autoSpaceDE w:val="0"/>
        <w:autoSpaceDN w:val="0"/>
        <w:adjustRightInd w:val="0"/>
        <w:spacing w:after="0" w:line="240" w:lineRule="auto"/>
        <w:rPr>
          <w:rFonts w:cs="Helvetica"/>
          <w:color w:val="000000"/>
          <w:sz w:val="20"/>
          <w:szCs w:val="20"/>
        </w:rPr>
      </w:pPr>
    </w:p>
    <w:p w14:paraId="6753C0FC" w14:textId="77777777" w:rsidR="008D0F41" w:rsidRDefault="008D0F41" w:rsidP="00140A36">
      <w:pPr>
        <w:autoSpaceDE w:val="0"/>
        <w:autoSpaceDN w:val="0"/>
        <w:adjustRightInd w:val="0"/>
        <w:spacing w:after="0" w:line="240" w:lineRule="auto"/>
        <w:rPr>
          <w:rFonts w:cs="Helvetica"/>
          <w:color w:val="000000"/>
          <w:sz w:val="20"/>
          <w:szCs w:val="20"/>
        </w:rPr>
      </w:pPr>
    </w:p>
    <w:p w14:paraId="131F65B5" w14:textId="77777777" w:rsidR="008D0F41" w:rsidRDefault="008D0F41" w:rsidP="00140A36">
      <w:pPr>
        <w:autoSpaceDE w:val="0"/>
        <w:autoSpaceDN w:val="0"/>
        <w:adjustRightInd w:val="0"/>
        <w:spacing w:after="0" w:line="240" w:lineRule="auto"/>
        <w:rPr>
          <w:rFonts w:cs="Helvetica"/>
          <w:color w:val="000000"/>
          <w:sz w:val="20"/>
          <w:szCs w:val="20"/>
        </w:rPr>
      </w:pPr>
    </w:p>
    <w:p w14:paraId="368D8248" w14:textId="77777777" w:rsidR="008D0F41" w:rsidRDefault="008D0F41" w:rsidP="00140A36">
      <w:pPr>
        <w:autoSpaceDE w:val="0"/>
        <w:autoSpaceDN w:val="0"/>
        <w:adjustRightInd w:val="0"/>
        <w:spacing w:after="0" w:line="240" w:lineRule="auto"/>
        <w:rPr>
          <w:rFonts w:cs="Helvetica"/>
          <w:color w:val="000000"/>
          <w:sz w:val="20"/>
          <w:szCs w:val="20"/>
        </w:rPr>
      </w:pPr>
    </w:p>
    <w:p w14:paraId="6DCBE077" w14:textId="77777777" w:rsidR="008D0F41" w:rsidRDefault="008D0F41" w:rsidP="00140A36">
      <w:pPr>
        <w:autoSpaceDE w:val="0"/>
        <w:autoSpaceDN w:val="0"/>
        <w:adjustRightInd w:val="0"/>
        <w:spacing w:after="0" w:line="240" w:lineRule="auto"/>
        <w:rPr>
          <w:rFonts w:cs="Helvetica"/>
          <w:color w:val="000000"/>
          <w:sz w:val="20"/>
          <w:szCs w:val="20"/>
        </w:rPr>
      </w:pPr>
    </w:p>
    <w:p w14:paraId="416F2D0B" w14:textId="77777777" w:rsidR="008D0F41" w:rsidRDefault="008D0F41" w:rsidP="00140A36">
      <w:pPr>
        <w:autoSpaceDE w:val="0"/>
        <w:autoSpaceDN w:val="0"/>
        <w:adjustRightInd w:val="0"/>
        <w:spacing w:after="0" w:line="240" w:lineRule="auto"/>
        <w:rPr>
          <w:rFonts w:cs="Helvetica"/>
          <w:color w:val="000000"/>
          <w:sz w:val="20"/>
          <w:szCs w:val="20"/>
        </w:rPr>
      </w:pPr>
    </w:p>
    <w:p w14:paraId="611FC38E" w14:textId="77777777" w:rsidR="008D0F41" w:rsidRDefault="008D0F41" w:rsidP="00140A36">
      <w:pPr>
        <w:autoSpaceDE w:val="0"/>
        <w:autoSpaceDN w:val="0"/>
        <w:adjustRightInd w:val="0"/>
        <w:spacing w:after="0" w:line="240" w:lineRule="auto"/>
        <w:rPr>
          <w:rFonts w:cs="Helvetica"/>
          <w:color w:val="000000"/>
          <w:sz w:val="20"/>
          <w:szCs w:val="20"/>
        </w:rPr>
      </w:pPr>
    </w:p>
    <w:p w14:paraId="1A9E0025" w14:textId="77777777" w:rsidR="008D0F41" w:rsidRDefault="008D0F41" w:rsidP="00140A36">
      <w:pPr>
        <w:autoSpaceDE w:val="0"/>
        <w:autoSpaceDN w:val="0"/>
        <w:adjustRightInd w:val="0"/>
        <w:spacing w:after="0" w:line="240" w:lineRule="auto"/>
        <w:rPr>
          <w:rFonts w:cs="Helvetica"/>
          <w:color w:val="000000"/>
          <w:sz w:val="20"/>
          <w:szCs w:val="20"/>
        </w:rPr>
      </w:pPr>
    </w:p>
    <w:p w14:paraId="3A7851F3" w14:textId="77777777" w:rsidR="00720273" w:rsidRPr="00720273" w:rsidRDefault="00720273" w:rsidP="00720273">
      <w:pPr>
        <w:autoSpaceDE w:val="0"/>
        <w:autoSpaceDN w:val="0"/>
        <w:adjustRightInd w:val="0"/>
        <w:spacing w:after="0" w:line="240" w:lineRule="auto"/>
        <w:rPr>
          <w:rFonts w:ascii="Arial" w:hAnsi="Arial" w:cs="Arial"/>
          <w:color w:val="000000"/>
          <w:sz w:val="20"/>
          <w:szCs w:val="20"/>
        </w:rPr>
      </w:pPr>
    </w:p>
    <w:tbl>
      <w:tblPr>
        <w:tblpPr w:leftFromText="180" w:rightFromText="180" w:horzAnchor="page" w:tblpX="1501" w:tblpY="240"/>
        <w:tblW w:w="0" w:type="auto"/>
        <w:tblBorders>
          <w:top w:val="nil"/>
          <w:left w:val="nil"/>
          <w:bottom w:val="nil"/>
          <w:right w:val="nil"/>
        </w:tblBorders>
        <w:tblLayout w:type="fixed"/>
        <w:tblLook w:val="0000" w:firstRow="0" w:lastRow="0" w:firstColumn="0" w:lastColumn="0" w:noHBand="0" w:noVBand="0"/>
      </w:tblPr>
      <w:tblGrid>
        <w:gridCol w:w="1379"/>
        <w:gridCol w:w="1379"/>
        <w:gridCol w:w="2049"/>
        <w:gridCol w:w="787"/>
        <w:gridCol w:w="1352"/>
      </w:tblGrid>
      <w:tr w:rsidR="00CB6EC5" w14:paraId="1116A1B2" w14:textId="77777777" w:rsidTr="00F90E77">
        <w:trPr>
          <w:gridAfter w:val="1"/>
          <w:wAfter w:w="1352" w:type="dxa"/>
          <w:trHeight w:val="315"/>
        </w:trPr>
        <w:tc>
          <w:tcPr>
            <w:tcW w:w="1379" w:type="dxa"/>
          </w:tcPr>
          <w:p w14:paraId="34ECAE32" w14:textId="77777777" w:rsidR="00CB6EC5" w:rsidRDefault="00CB6EC5" w:rsidP="00F90E77"/>
        </w:tc>
        <w:tc>
          <w:tcPr>
            <w:tcW w:w="4215" w:type="dxa"/>
            <w:gridSpan w:val="3"/>
          </w:tcPr>
          <w:p w14:paraId="76E3829C" w14:textId="77777777" w:rsidR="00CB6EC5" w:rsidRDefault="00CB6EC5" w:rsidP="00F90E77"/>
        </w:tc>
      </w:tr>
      <w:tr w:rsidR="00CB6EC5" w14:paraId="03EA9836"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val="restart"/>
          </w:tcPr>
          <w:p w14:paraId="2C45E96E" w14:textId="77777777" w:rsidR="00CB6EC5" w:rsidRDefault="00CB6EC5" w:rsidP="00F90E77">
            <w:pPr>
              <w:autoSpaceDE w:val="0"/>
              <w:autoSpaceDN w:val="0"/>
              <w:adjustRightInd w:val="0"/>
              <w:spacing w:after="0" w:line="240" w:lineRule="auto"/>
              <w:jc w:val="center"/>
              <w:rPr>
                <w:rFonts w:cs="Calibri"/>
                <w:b/>
                <w:bCs/>
                <w:color w:val="000000"/>
              </w:rPr>
            </w:pPr>
            <w:r>
              <w:rPr>
                <w:rFonts w:cs="Calibri"/>
                <w:b/>
                <w:bCs/>
                <w:color w:val="000000"/>
              </w:rPr>
              <w:t>Term</w:t>
            </w:r>
          </w:p>
        </w:tc>
        <w:tc>
          <w:tcPr>
            <w:tcW w:w="5567" w:type="dxa"/>
            <w:gridSpan w:val="4"/>
          </w:tcPr>
          <w:p w14:paraId="1118EA8B" w14:textId="77777777" w:rsidR="00CB6EC5" w:rsidRPr="00FE7891" w:rsidRDefault="00CB6EC5" w:rsidP="00F90E77">
            <w:pPr>
              <w:autoSpaceDE w:val="0"/>
              <w:autoSpaceDN w:val="0"/>
              <w:adjustRightInd w:val="0"/>
              <w:spacing w:after="0" w:line="240" w:lineRule="auto"/>
              <w:rPr>
                <w:rFonts w:cs="Calibri"/>
                <w:b/>
                <w:color w:val="000000"/>
              </w:rPr>
            </w:pPr>
            <w:r>
              <w:rPr>
                <w:rFonts w:cs="Calibri"/>
                <w:color w:val="000000"/>
              </w:rPr>
              <w:t xml:space="preserve"> </w:t>
            </w:r>
            <w:r w:rsidRPr="00FE7891">
              <w:rPr>
                <w:rFonts w:cs="Calibri"/>
                <w:b/>
                <w:color w:val="000000"/>
              </w:rPr>
              <w:t>Definition</w:t>
            </w:r>
          </w:p>
        </w:tc>
      </w:tr>
      <w:tr w:rsidR="00CB6EC5" w14:paraId="76F434D2"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59DE0E8E" w14:textId="77777777" w:rsidR="00CB6EC5" w:rsidRDefault="00CB6EC5" w:rsidP="00F90E77">
            <w:pPr>
              <w:autoSpaceDE w:val="0"/>
              <w:autoSpaceDN w:val="0"/>
              <w:adjustRightInd w:val="0"/>
              <w:spacing w:after="0" w:line="240" w:lineRule="auto"/>
              <w:rPr>
                <w:rFonts w:cs="Calibri"/>
                <w:b/>
                <w:bCs/>
                <w:color w:val="000000"/>
              </w:rPr>
            </w:pPr>
          </w:p>
        </w:tc>
        <w:tc>
          <w:tcPr>
            <w:tcW w:w="5567"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5391"/>
            </w:tblGrid>
            <w:tr w:rsidR="00CB6EC5" w:rsidRPr="00FE7891" w14:paraId="7C6AFBFC" w14:textId="77777777" w:rsidTr="00F90E77">
              <w:trPr>
                <w:trHeight w:val="372"/>
              </w:trPr>
              <w:tc>
                <w:tcPr>
                  <w:tcW w:w="5391" w:type="dxa"/>
                </w:tcPr>
                <w:p w14:paraId="36E14D9B" w14:textId="77777777" w:rsidR="00CB6EC5" w:rsidRPr="00FE7891" w:rsidRDefault="00CB6EC5" w:rsidP="005737D6">
                  <w:pPr>
                    <w:framePr w:hSpace="180" w:wrap="around" w:hAnchor="page" w:x="1501" w:y="240"/>
                    <w:autoSpaceDE w:val="0"/>
                    <w:autoSpaceDN w:val="0"/>
                    <w:adjustRightInd w:val="0"/>
                    <w:spacing w:after="0" w:line="240" w:lineRule="auto"/>
                    <w:rPr>
                      <w:rFonts w:cs="Tahoma"/>
                      <w:color w:val="000000"/>
                    </w:rPr>
                  </w:pPr>
                  <w:r w:rsidRPr="00FE7891">
                    <w:rPr>
                      <w:rFonts w:cs="Tahoma"/>
                      <w:color w:val="000000"/>
                    </w:rPr>
                    <w:t xml:space="preserve">These are unique IDs that can be used, with reference to the MPAN, to identify your LDNO. The charges for other network operators can be found on their website. </w:t>
                  </w:r>
                </w:p>
              </w:tc>
            </w:tr>
          </w:tbl>
          <w:p w14:paraId="2F51FA18" w14:textId="77777777" w:rsidR="00CB6EC5" w:rsidRPr="00720273" w:rsidRDefault="00CB6EC5" w:rsidP="00F90E77">
            <w:pPr>
              <w:autoSpaceDE w:val="0"/>
              <w:autoSpaceDN w:val="0"/>
              <w:adjustRightInd w:val="0"/>
              <w:spacing w:after="0" w:line="240" w:lineRule="auto"/>
              <w:rPr>
                <w:rFonts w:cs="Calibri"/>
                <w:color w:val="000000"/>
              </w:rPr>
            </w:pPr>
          </w:p>
        </w:tc>
      </w:tr>
      <w:tr w:rsidR="00704626" w14:paraId="1CE4A64D"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val="restart"/>
          </w:tcPr>
          <w:p w14:paraId="119B4EC8" w14:textId="77777777" w:rsidR="00704626" w:rsidRDefault="00704626" w:rsidP="00F90E77">
            <w:pPr>
              <w:pStyle w:val="Default"/>
              <w:jc w:val="center"/>
              <w:rPr>
                <w:rFonts w:asciiTheme="minorHAnsi" w:hAnsiTheme="minorHAnsi"/>
                <w:sz w:val="22"/>
                <w:szCs w:val="22"/>
              </w:rPr>
            </w:pPr>
          </w:p>
          <w:p w14:paraId="0E2A171E" w14:textId="77777777" w:rsidR="00704626" w:rsidRDefault="00704626" w:rsidP="00F90E77">
            <w:pPr>
              <w:pStyle w:val="Default"/>
              <w:jc w:val="center"/>
              <w:rPr>
                <w:rFonts w:asciiTheme="minorHAnsi" w:hAnsiTheme="minorHAnsi"/>
                <w:sz w:val="22"/>
                <w:szCs w:val="22"/>
              </w:rPr>
            </w:pPr>
          </w:p>
          <w:p w14:paraId="7FC57FCF" w14:textId="77777777" w:rsidR="00704626" w:rsidRDefault="00704626" w:rsidP="00F90E77">
            <w:pPr>
              <w:pStyle w:val="Default"/>
              <w:jc w:val="center"/>
              <w:rPr>
                <w:rFonts w:asciiTheme="minorHAnsi" w:hAnsiTheme="minorHAnsi"/>
                <w:sz w:val="22"/>
                <w:szCs w:val="22"/>
              </w:rPr>
            </w:pPr>
          </w:p>
          <w:p w14:paraId="56C524F4" w14:textId="77777777" w:rsidR="00704626" w:rsidRDefault="00704626" w:rsidP="00F90E77">
            <w:pPr>
              <w:pStyle w:val="Default"/>
              <w:jc w:val="center"/>
              <w:rPr>
                <w:rFonts w:asciiTheme="minorHAnsi" w:hAnsiTheme="minorHAnsi"/>
                <w:sz w:val="22"/>
                <w:szCs w:val="22"/>
              </w:rPr>
            </w:pPr>
          </w:p>
          <w:p w14:paraId="64278F1D" w14:textId="77777777" w:rsidR="00704626" w:rsidRDefault="00704626" w:rsidP="00F90E77">
            <w:pPr>
              <w:pStyle w:val="Default"/>
              <w:jc w:val="center"/>
              <w:rPr>
                <w:rFonts w:asciiTheme="minorHAnsi" w:hAnsiTheme="minorHAnsi"/>
                <w:sz w:val="22"/>
                <w:szCs w:val="22"/>
              </w:rPr>
            </w:pPr>
          </w:p>
          <w:p w14:paraId="5CAA29A5" w14:textId="77777777" w:rsidR="00704626" w:rsidRDefault="00704626" w:rsidP="00F90E77">
            <w:pPr>
              <w:pStyle w:val="Default"/>
              <w:jc w:val="center"/>
              <w:rPr>
                <w:rFonts w:asciiTheme="minorHAnsi" w:hAnsiTheme="minorHAnsi"/>
                <w:sz w:val="22"/>
                <w:szCs w:val="22"/>
              </w:rPr>
            </w:pPr>
          </w:p>
          <w:p w14:paraId="070C7E2E" w14:textId="77777777" w:rsidR="00704626" w:rsidRDefault="00704626" w:rsidP="00F90E77">
            <w:pPr>
              <w:pStyle w:val="Default"/>
              <w:jc w:val="center"/>
              <w:rPr>
                <w:rFonts w:asciiTheme="minorHAnsi" w:hAnsiTheme="minorHAnsi"/>
                <w:sz w:val="22"/>
                <w:szCs w:val="22"/>
              </w:rPr>
            </w:pPr>
          </w:p>
          <w:p w14:paraId="05515905" w14:textId="77777777" w:rsidR="00704626" w:rsidRDefault="00704626" w:rsidP="00F90E77">
            <w:pPr>
              <w:pStyle w:val="Default"/>
              <w:jc w:val="center"/>
              <w:rPr>
                <w:rFonts w:asciiTheme="minorHAnsi" w:hAnsiTheme="minorHAnsi"/>
                <w:sz w:val="22"/>
                <w:szCs w:val="22"/>
              </w:rPr>
            </w:pPr>
          </w:p>
          <w:p w14:paraId="1CD0D209" w14:textId="77777777" w:rsidR="00704626" w:rsidRDefault="00704626" w:rsidP="00F90E77">
            <w:pPr>
              <w:pStyle w:val="Default"/>
              <w:jc w:val="center"/>
              <w:rPr>
                <w:rFonts w:asciiTheme="minorHAnsi" w:hAnsiTheme="minorHAnsi"/>
                <w:sz w:val="22"/>
                <w:szCs w:val="22"/>
              </w:rPr>
            </w:pPr>
          </w:p>
          <w:p w14:paraId="1216661C" w14:textId="77777777" w:rsidR="00704626" w:rsidRDefault="00704626" w:rsidP="00F90E77">
            <w:pPr>
              <w:pStyle w:val="Default"/>
              <w:jc w:val="center"/>
              <w:rPr>
                <w:rFonts w:asciiTheme="minorHAnsi" w:hAnsiTheme="minorHAnsi"/>
                <w:sz w:val="22"/>
                <w:szCs w:val="22"/>
              </w:rPr>
            </w:pPr>
          </w:p>
          <w:p w14:paraId="0057F48D" w14:textId="77777777" w:rsidR="00704626" w:rsidRDefault="00704626" w:rsidP="00F90E77">
            <w:pPr>
              <w:pStyle w:val="Default"/>
              <w:jc w:val="center"/>
              <w:rPr>
                <w:rFonts w:asciiTheme="minorHAnsi" w:hAnsiTheme="minorHAnsi"/>
                <w:sz w:val="22"/>
                <w:szCs w:val="22"/>
              </w:rPr>
            </w:pPr>
          </w:p>
          <w:p w14:paraId="494D776D" w14:textId="77777777" w:rsidR="00704626" w:rsidRDefault="00704626" w:rsidP="00F90E77">
            <w:pPr>
              <w:pStyle w:val="Default"/>
              <w:jc w:val="center"/>
              <w:rPr>
                <w:rFonts w:asciiTheme="minorHAnsi" w:hAnsiTheme="minorHAnsi"/>
                <w:sz w:val="22"/>
                <w:szCs w:val="22"/>
              </w:rPr>
            </w:pPr>
          </w:p>
          <w:p w14:paraId="3BEB5EE6" w14:textId="77777777" w:rsidR="00704626" w:rsidRDefault="00704626" w:rsidP="00F90E77">
            <w:pPr>
              <w:pStyle w:val="Default"/>
              <w:jc w:val="center"/>
              <w:rPr>
                <w:rFonts w:asciiTheme="minorHAnsi" w:hAnsiTheme="minorHAnsi"/>
                <w:sz w:val="22"/>
                <w:szCs w:val="22"/>
              </w:rPr>
            </w:pPr>
          </w:p>
          <w:p w14:paraId="4FA47EA9" w14:textId="77777777" w:rsidR="00704626" w:rsidRDefault="00704626" w:rsidP="00F90E77">
            <w:pPr>
              <w:pStyle w:val="Default"/>
              <w:jc w:val="center"/>
              <w:rPr>
                <w:rFonts w:asciiTheme="minorHAnsi" w:hAnsiTheme="minorHAnsi"/>
                <w:sz w:val="22"/>
                <w:szCs w:val="22"/>
              </w:rPr>
            </w:pPr>
          </w:p>
          <w:p w14:paraId="749C02D1" w14:textId="77777777" w:rsidR="00704626" w:rsidRDefault="00704626" w:rsidP="00F90E77">
            <w:pPr>
              <w:pStyle w:val="Default"/>
              <w:jc w:val="center"/>
              <w:rPr>
                <w:rFonts w:asciiTheme="minorHAnsi" w:hAnsiTheme="minorHAnsi"/>
                <w:sz w:val="22"/>
                <w:szCs w:val="22"/>
              </w:rPr>
            </w:pPr>
          </w:p>
          <w:p w14:paraId="2024FB92" w14:textId="77777777" w:rsidR="00704626" w:rsidRDefault="00704626" w:rsidP="00F90E77">
            <w:pPr>
              <w:pStyle w:val="Default"/>
              <w:jc w:val="center"/>
              <w:rPr>
                <w:rFonts w:asciiTheme="minorHAnsi" w:hAnsiTheme="minorHAnsi"/>
                <w:sz w:val="22"/>
                <w:szCs w:val="22"/>
              </w:rPr>
            </w:pPr>
          </w:p>
          <w:p w14:paraId="45D3DC64" w14:textId="77777777" w:rsidR="00704626" w:rsidRDefault="00704626" w:rsidP="00F90E77">
            <w:pPr>
              <w:pStyle w:val="Default"/>
              <w:jc w:val="center"/>
              <w:rPr>
                <w:rFonts w:asciiTheme="minorHAnsi" w:hAnsiTheme="minorHAnsi"/>
                <w:sz w:val="22"/>
                <w:szCs w:val="22"/>
              </w:rPr>
            </w:pPr>
          </w:p>
          <w:p w14:paraId="6BBAC5B0" w14:textId="77777777" w:rsidR="00704626" w:rsidRDefault="00704626" w:rsidP="00F90E77">
            <w:pPr>
              <w:pStyle w:val="Default"/>
              <w:jc w:val="center"/>
              <w:rPr>
                <w:rFonts w:asciiTheme="minorHAnsi" w:hAnsiTheme="minorHAnsi"/>
                <w:sz w:val="22"/>
                <w:szCs w:val="22"/>
              </w:rPr>
            </w:pPr>
          </w:p>
          <w:p w14:paraId="773ED736" w14:textId="77777777" w:rsidR="00704626" w:rsidRDefault="00704626" w:rsidP="00F90E77">
            <w:pPr>
              <w:pStyle w:val="Default"/>
              <w:jc w:val="center"/>
              <w:rPr>
                <w:rFonts w:asciiTheme="minorHAnsi" w:hAnsiTheme="minorHAnsi"/>
                <w:sz w:val="22"/>
                <w:szCs w:val="22"/>
              </w:rPr>
            </w:pPr>
          </w:p>
          <w:p w14:paraId="40D33092" w14:textId="77777777" w:rsidR="00704626" w:rsidRDefault="00704626" w:rsidP="00F90E77">
            <w:pPr>
              <w:pStyle w:val="Default"/>
              <w:jc w:val="center"/>
              <w:rPr>
                <w:rFonts w:asciiTheme="minorHAnsi" w:hAnsiTheme="minorHAnsi"/>
                <w:sz w:val="22"/>
                <w:szCs w:val="22"/>
              </w:rPr>
            </w:pPr>
          </w:p>
          <w:p w14:paraId="00FB37EB" w14:textId="77777777" w:rsidR="00704626" w:rsidRPr="003C6DC5" w:rsidRDefault="00704626" w:rsidP="00F90E77">
            <w:pPr>
              <w:pStyle w:val="Default"/>
              <w:jc w:val="center"/>
              <w:rPr>
                <w:rFonts w:asciiTheme="minorHAnsi" w:hAnsiTheme="minorHAnsi"/>
              </w:rPr>
            </w:pPr>
            <w:r w:rsidRPr="003C6DC5">
              <w:rPr>
                <w:rFonts w:asciiTheme="minorHAnsi" w:hAnsiTheme="minorHAnsi"/>
                <w:sz w:val="22"/>
                <w:szCs w:val="22"/>
              </w:rPr>
              <w:t>Distributor IDs</w:t>
            </w:r>
          </w:p>
          <w:p w14:paraId="409CF4E8" w14:textId="77777777" w:rsidR="00704626" w:rsidRDefault="00704626" w:rsidP="00F90E77">
            <w:pPr>
              <w:autoSpaceDE w:val="0"/>
              <w:autoSpaceDN w:val="0"/>
              <w:adjustRightInd w:val="0"/>
              <w:spacing w:after="0" w:line="240" w:lineRule="auto"/>
              <w:rPr>
                <w:rFonts w:cs="Calibri"/>
                <w:b/>
                <w:bCs/>
                <w:color w:val="000000"/>
              </w:rPr>
            </w:pPr>
          </w:p>
        </w:tc>
        <w:tc>
          <w:tcPr>
            <w:tcW w:w="1379" w:type="dxa"/>
          </w:tcPr>
          <w:p w14:paraId="606C4D82" w14:textId="77777777" w:rsidR="00704626" w:rsidRPr="00720273" w:rsidRDefault="00704626" w:rsidP="00F90E77">
            <w:pPr>
              <w:autoSpaceDE w:val="0"/>
              <w:autoSpaceDN w:val="0"/>
              <w:adjustRightInd w:val="0"/>
              <w:spacing w:after="0" w:line="240" w:lineRule="auto"/>
              <w:rPr>
                <w:rFonts w:cs="Calibri"/>
                <w:color w:val="000000"/>
              </w:rPr>
            </w:pPr>
            <w:r>
              <w:rPr>
                <w:rFonts w:cs="Calibri"/>
                <w:b/>
                <w:bCs/>
                <w:color w:val="000000"/>
              </w:rPr>
              <w:t xml:space="preserve">  </w:t>
            </w:r>
            <w:r w:rsidRPr="00720273">
              <w:rPr>
                <w:rFonts w:cs="Calibri"/>
                <w:b/>
                <w:bCs/>
                <w:color w:val="000000"/>
              </w:rPr>
              <w:t xml:space="preserve">ID </w:t>
            </w:r>
          </w:p>
        </w:tc>
        <w:tc>
          <w:tcPr>
            <w:tcW w:w="2049" w:type="dxa"/>
          </w:tcPr>
          <w:p w14:paraId="35E668BE" w14:textId="77777777" w:rsidR="00704626" w:rsidRPr="00720273" w:rsidRDefault="00704626" w:rsidP="00F90E77">
            <w:pPr>
              <w:autoSpaceDE w:val="0"/>
              <w:autoSpaceDN w:val="0"/>
              <w:adjustRightInd w:val="0"/>
              <w:spacing w:after="0" w:line="240" w:lineRule="auto"/>
              <w:rPr>
                <w:rFonts w:cs="Calibri"/>
                <w:color w:val="000000"/>
              </w:rPr>
            </w:pPr>
            <w:r w:rsidRPr="00720273">
              <w:rPr>
                <w:rFonts w:cs="Calibri"/>
                <w:color w:val="000000"/>
              </w:rPr>
              <w:t xml:space="preserve"> </w:t>
            </w:r>
            <w:r w:rsidRPr="00720273">
              <w:rPr>
                <w:rFonts w:cs="Calibri"/>
                <w:b/>
                <w:bCs/>
                <w:color w:val="000000"/>
              </w:rPr>
              <w:t xml:space="preserve">Name </w:t>
            </w:r>
          </w:p>
        </w:tc>
        <w:tc>
          <w:tcPr>
            <w:tcW w:w="2139" w:type="dxa"/>
            <w:gridSpan w:val="2"/>
          </w:tcPr>
          <w:p w14:paraId="634D05CE" w14:textId="77777777" w:rsidR="00704626" w:rsidRPr="00720273" w:rsidRDefault="00704626" w:rsidP="00F90E77">
            <w:pPr>
              <w:autoSpaceDE w:val="0"/>
              <w:autoSpaceDN w:val="0"/>
              <w:adjustRightInd w:val="0"/>
              <w:spacing w:after="0" w:line="240" w:lineRule="auto"/>
              <w:rPr>
                <w:rFonts w:cs="Calibri"/>
                <w:color w:val="000000"/>
              </w:rPr>
            </w:pPr>
            <w:r w:rsidRPr="00720273">
              <w:rPr>
                <w:rFonts w:cs="Calibri"/>
                <w:color w:val="000000"/>
              </w:rPr>
              <w:t xml:space="preserve"> </w:t>
            </w:r>
            <w:r w:rsidRPr="00720273">
              <w:rPr>
                <w:rFonts w:cs="Calibri"/>
                <w:b/>
                <w:bCs/>
                <w:color w:val="000000"/>
              </w:rPr>
              <w:t xml:space="preserve">Operator </w:t>
            </w:r>
          </w:p>
        </w:tc>
      </w:tr>
      <w:tr w:rsidR="00704626" w14:paraId="7B384C7F"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14:paraId="0ACC921F"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650E60F0"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10 </w:t>
            </w:r>
          </w:p>
        </w:tc>
        <w:tc>
          <w:tcPr>
            <w:tcW w:w="2049" w:type="dxa"/>
          </w:tcPr>
          <w:p w14:paraId="73A9C16F"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Eastern Power Networks </w:t>
            </w:r>
          </w:p>
        </w:tc>
        <w:tc>
          <w:tcPr>
            <w:tcW w:w="2139" w:type="dxa"/>
            <w:gridSpan w:val="2"/>
          </w:tcPr>
          <w:p w14:paraId="526EAEE4"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UK Power Networks</w:t>
            </w:r>
          </w:p>
        </w:tc>
      </w:tr>
      <w:tr w:rsidR="00704626" w14:paraId="55CC0D0C"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39DBA504"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3A564E1D"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11 </w:t>
            </w:r>
          </w:p>
        </w:tc>
        <w:tc>
          <w:tcPr>
            <w:tcW w:w="2049" w:type="dxa"/>
          </w:tcPr>
          <w:p w14:paraId="1BFF8933"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East Midlands </w:t>
            </w:r>
          </w:p>
        </w:tc>
        <w:tc>
          <w:tcPr>
            <w:tcW w:w="2139" w:type="dxa"/>
            <w:gridSpan w:val="2"/>
          </w:tcPr>
          <w:p w14:paraId="353F3B20"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704626" w14:paraId="4AA86B6F"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14:paraId="101D57B5"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50BA8622"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12 </w:t>
            </w:r>
          </w:p>
        </w:tc>
        <w:tc>
          <w:tcPr>
            <w:tcW w:w="2049" w:type="dxa"/>
          </w:tcPr>
          <w:p w14:paraId="1EB895DA"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London Power Networks </w:t>
            </w:r>
          </w:p>
        </w:tc>
        <w:tc>
          <w:tcPr>
            <w:tcW w:w="2139" w:type="dxa"/>
            <w:gridSpan w:val="2"/>
          </w:tcPr>
          <w:p w14:paraId="2A599B52"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UK Power Networks</w:t>
            </w:r>
          </w:p>
        </w:tc>
      </w:tr>
      <w:tr w:rsidR="00704626" w14:paraId="53913909"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14:paraId="3A2E6893"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216EB4C8"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13 </w:t>
            </w:r>
          </w:p>
        </w:tc>
        <w:tc>
          <w:tcPr>
            <w:tcW w:w="2049" w:type="dxa"/>
          </w:tcPr>
          <w:p w14:paraId="2F1A2D48"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Merseyside and North Wales </w:t>
            </w:r>
          </w:p>
        </w:tc>
        <w:tc>
          <w:tcPr>
            <w:tcW w:w="2139" w:type="dxa"/>
            <w:gridSpan w:val="2"/>
          </w:tcPr>
          <w:p w14:paraId="1A47E7B8"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Scottish Power</w:t>
            </w:r>
          </w:p>
        </w:tc>
      </w:tr>
      <w:tr w:rsidR="00704626" w14:paraId="53DFC148"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0545FB25"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68C06AFE"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14 </w:t>
            </w:r>
          </w:p>
        </w:tc>
        <w:tc>
          <w:tcPr>
            <w:tcW w:w="2049" w:type="dxa"/>
          </w:tcPr>
          <w:p w14:paraId="38D58716"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Midlands </w:t>
            </w:r>
          </w:p>
        </w:tc>
        <w:tc>
          <w:tcPr>
            <w:tcW w:w="2139" w:type="dxa"/>
            <w:gridSpan w:val="2"/>
          </w:tcPr>
          <w:p w14:paraId="72AC37A6"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704626" w14:paraId="27FB0DF0"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4A06C93D"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0162FA16"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15 </w:t>
            </w:r>
          </w:p>
        </w:tc>
        <w:tc>
          <w:tcPr>
            <w:tcW w:w="2049" w:type="dxa"/>
          </w:tcPr>
          <w:p w14:paraId="4D20D810"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Northern </w:t>
            </w:r>
          </w:p>
        </w:tc>
        <w:tc>
          <w:tcPr>
            <w:tcW w:w="2139" w:type="dxa"/>
            <w:gridSpan w:val="2"/>
          </w:tcPr>
          <w:p w14:paraId="000DAEE4"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Northern Powergrid</w:t>
            </w:r>
          </w:p>
        </w:tc>
      </w:tr>
      <w:tr w:rsidR="00704626" w14:paraId="2D07D713"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65527100"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26C5F90C"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16 </w:t>
            </w:r>
          </w:p>
        </w:tc>
        <w:tc>
          <w:tcPr>
            <w:tcW w:w="2049" w:type="dxa"/>
          </w:tcPr>
          <w:p w14:paraId="13F0185B"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North Western </w:t>
            </w:r>
          </w:p>
        </w:tc>
        <w:tc>
          <w:tcPr>
            <w:tcW w:w="2139" w:type="dxa"/>
            <w:gridSpan w:val="2"/>
          </w:tcPr>
          <w:p w14:paraId="7CE30A1C"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Electricity North West</w:t>
            </w:r>
          </w:p>
        </w:tc>
      </w:tr>
      <w:tr w:rsidR="00704626" w14:paraId="3BD451E2"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5"/>
        </w:trPr>
        <w:tc>
          <w:tcPr>
            <w:tcW w:w="1379" w:type="dxa"/>
            <w:vMerge/>
          </w:tcPr>
          <w:p w14:paraId="20D2B3F8"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4E4EF02F"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17 </w:t>
            </w:r>
          </w:p>
        </w:tc>
        <w:tc>
          <w:tcPr>
            <w:tcW w:w="2049" w:type="dxa"/>
          </w:tcPr>
          <w:p w14:paraId="456112AA"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Scottish Hydro Electric </w:t>
            </w:r>
          </w:p>
        </w:tc>
        <w:tc>
          <w:tcPr>
            <w:tcW w:w="2139" w:type="dxa"/>
            <w:gridSpan w:val="2"/>
          </w:tcPr>
          <w:p w14:paraId="3815EA8F"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Scottish Hydro Electric Power Distribution plc</w:t>
            </w:r>
          </w:p>
        </w:tc>
      </w:tr>
      <w:tr w:rsidR="00704626" w14:paraId="2384D6E9"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5B560E16"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0F674AAC"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18 </w:t>
            </w:r>
          </w:p>
        </w:tc>
        <w:tc>
          <w:tcPr>
            <w:tcW w:w="2049" w:type="dxa"/>
          </w:tcPr>
          <w:p w14:paraId="08A85273"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Scotland </w:t>
            </w:r>
          </w:p>
        </w:tc>
        <w:tc>
          <w:tcPr>
            <w:tcW w:w="2139" w:type="dxa"/>
            <w:gridSpan w:val="2"/>
          </w:tcPr>
          <w:p w14:paraId="3C6FAE77"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Scottish Power</w:t>
            </w:r>
          </w:p>
        </w:tc>
      </w:tr>
      <w:tr w:rsidR="00704626" w14:paraId="2859D95A"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08"/>
        </w:trPr>
        <w:tc>
          <w:tcPr>
            <w:tcW w:w="1379" w:type="dxa"/>
            <w:vMerge/>
          </w:tcPr>
          <w:p w14:paraId="3A356DA7"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2EBC84AC"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19 </w:t>
            </w:r>
          </w:p>
        </w:tc>
        <w:tc>
          <w:tcPr>
            <w:tcW w:w="2049" w:type="dxa"/>
          </w:tcPr>
          <w:p w14:paraId="113A8EA2"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Eastern Power Networks </w:t>
            </w:r>
          </w:p>
        </w:tc>
        <w:tc>
          <w:tcPr>
            <w:tcW w:w="2139" w:type="dxa"/>
            <w:gridSpan w:val="2"/>
          </w:tcPr>
          <w:p w14:paraId="0E7E8FA8"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UK Power Networks</w:t>
            </w:r>
          </w:p>
        </w:tc>
      </w:tr>
      <w:tr w:rsidR="00704626" w14:paraId="035C9F10"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5"/>
        </w:trPr>
        <w:tc>
          <w:tcPr>
            <w:tcW w:w="1379" w:type="dxa"/>
            <w:vMerge/>
          </w:tcPr>
          <w:p w14:paraId="19F429D0"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46F4DB6A"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20 </w:t>
            </w:r>
          </w:p>
        </w:tc>
        <w:tc>
          <w:tcPr>
            <w:tcW w:w="2049" w:type="dxa"/>
          </w:tcPr>
          <w:p w14:paraId="3A925CF5"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Southern Electric </w:t>
            </w:r>
          </w:p>
        </w:tc>
        <w:tc>
          <w:tcPr>
            <w:tcW w:w="2139" w:type="dxa"/>
            <w:gridSpan w:val="2"/>
          </w:tcPr>
          <w:p w14:paraId="1C04E89D"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Southern Electric Power Distribution plc</w:t>
            </w:r>
          </w:p>
        </w:tc>
      </w:tr>
      <w:tr w:rsidR="00704626" w14:paraId="22148FA3"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134EDBFE"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535A5512"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21 </w:t>
            </w:r>
          </w:p>
        </w:tc>
        <w:tc>
          <w:tcPr>
            <w:tcW w:w="2049" w:type="dxa"/>
          </w:tcPr>
          <w:p w14:paraId="4B7E7D6A"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Wales </w:t>
            </w:r>
          </w:p>
        </w:tc>
        <w:tc>
          <w:tcPr>
            <w:tcW w:w="2139" w:type="dxa"/>
            <w:gridSpan w:val="2"/>
          </w:tcPr>
          <w:p w14:paraId="4E9E183C"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704626" w14:paraId="07AAA2E9"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09D731E4"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1FA1AADB"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22 </w:t>
            </w:r>
          </w:p>
        </w:tc>
        <w:tc>
          <w:tcPr>
            <w:tcW w:w="2049" w:type="dxa"/>
          </w:tcPr>
          <w:p w14:paraId="182461C9"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South Western </w:t>
            </w:r>
          </w:p>
        </w:tc>
        <w:tc>
          <w:tcPr>
            <w:tcW w:w="2139" w:type="dxa"/>
            <w:gridSpan w:val="2"/>
          </w:tcPr>
          <w:p w14:paraId="46C827C6"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Western Power Distribution</w:t>
            </w:r>
          </w:p>
        </w:tc>
      </w:tr>
      <w:tr w:rsidR="00704626" w14:paraId="2931EDB2"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38387F2A"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6A7342C6"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23 </w:t>
            </w:r>
          </w:p>
        </w:tc>
        <w:tc>
          <w:tcPr>
            <w:tcW w:w="2049" w:type="dxa"/>
          </w:tcPr>
          <w:p w14:paraId="62D5A1EF"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 </w:t>
            </w:r>
            <w:r w:rsidRPr="003C6DC5">
              <w:rPr>
                <w:rFonts w:cs="Arial"/>
                <w:color w:val="000000"/>
              </w:rPr>
              <w:t xml:space="preserve">Yorkshire </w:t>
            </w:r>
          </w:p>
        </w:tc>
        <w:tc>
          <w:tcPr>
            <w:tcW w:w="2139" w:type="dxa"/>
            <w:gridSpan w:val="2"/>
          </w:tcPr>
          <w:p w14:paraId="38B23F44"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Northern Powergrid</w:t>
            </w:r>
          </w:p>
        </w:tc>
      </w:tr>
      <w:tr w:rsidR="00704626" w14:paraId="6993E28A"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vMerge/>
          </w:tcPr>
          <w:p w14:paraId="7B787EE8"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58A981CA"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24 </w:t>
            </w:r>
          </w:p>
        </w:tc>
        <w:tc>
          <w:tcPr>
            <w:tcW w:w="2049" w:type="dxa"/>
          </w:tcPr>
          <w:p w14:paraId="79E517CB"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 xml:space="preserve"> GTC </w:t>
            </w:r>
          </w:p>
        </w:tc>
        <w:tc>
          <w:tcPr>
            <w:tcW w:w="2139" w:type="dxa"/>
            <w:gridSpan w:val="2"/>
          </w:tcPr>
          <w:p w14:paraId="64CEB8C9"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Independent Power Networks</w:t>
            </w:r>
          </w:p>
        </w:tc>
      </w:tr>
      <w:tr w:rsidR="00704626" w14:paraId="38638E99"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6966BB12"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252393CF"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25 </w:t>
            </w:r>
          </w:p>
        </w:tc>
        <w:tc>
          <w:tcPr>
            <w:tcW w:w="2049" w:type="dxa"/>
          </w:tcPr>
          <w:p w14:paraId="60EA1FC0"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 xml:space="preserve"> ESP Electricity </w:t>
            </w:r>
          </w:p>
        </w:tc>
        <w:tc>
          <w:tcPr>
            <w:tcW w:w="2139" w:type="dxa"/>
            <w:gridSpan w:val="2"/>
          </w:tcPr>
          <w:p w14:paraId="10D0E165"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ESP Electricity</w:t>
            </w:r>
          </w:p>
        </w:tc>
      </w:tr>
      <w:tr w:rsidR="00704626" w14:paraId="637DB664"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10"/>
        </w:trPr>
        <w:tc>
          <w:tcPr>
            <w:tcW w:w="1379" w:type="dxa"/>
            <w:vMerge/>
          </w:tcPr>
          <w:p w14:paraId="5E62522E"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7CF79D4D"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26 </w:t>
            </w:r>
          </w:p>
        </w:tc>
        <w:tc>
          <w:tcPr>
            <w:tcW w:w="2049" w:type="dxa"/>
          </w:tcPr>
          <w:p w14:paraId="425A9712"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 xml:space="preserve"> Energetics </w:t>
            </w:r>
          </w:p>
        </w:tc>
        <w:tc>
          <w:tcPr>
            <w:tcW w:w="2139" w:type="dxa"/>
            <w:gridSpan w:val="2"/>
          </w:tcPr>
          <w:p w14:paraId="2862705F"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Energetics Electricity Ltd</w:t>
            </w:r>
          </w:p>
        </w:tc>
      </w:tr>
      <w:tr w:rsidR="00704626" w14:paraId="448D0341"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vMerge/>
          </w:tcPr>
          <w:p w14:paraId="68CAF7E9"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4D95A0D3"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27 </w:t>
            </w:r>
          </w:p>
        </w:tc>
        <w:tc>
          <w:tcPr>
            <w:tcW w:w="2049" w:type="dxa"/>
          </w:tcPr>
          <w:p w14:paraId="0047B02C"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 xml:space="preserve"> GTC </w:t>
            </w:r>
          </w:p>
        </w:tc>
        <w:tc>
          <w:tcPr>
            <w:tcW w:w="2139" w:type="dxa"/>
            <w:gridSpan w:val="2"/>
          </w:tcPr>
          <w:p w14:paraId="593E4294"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The Electricity Network Company Ltd</w:t>
            </w:r>
          </w:p>
        </w:tc>
      </w:tr>
      <w:tr w:rsidR="00704626" w14:paraId="7322D60C"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vMerge/>
          </w:tcPr>
          <w:p w14:paraId="70C2B485"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78943F55"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Arial"/>
              </w:rPr>
              <w:t xml:space="preserve"> </w:t>
            </w:r>
            <w:r w:rsidRPr="003C6DC5">
              <w:rPr>
                <w:rFonts w:cs="Calibri"/>
                <w:color w:val="000000"/>
              </w:rPr>
              <w:t xml:space="preserve">29 </w:t>
            </w:r>
          </w:p>
        </w:tc>
        <w:tc>
          <w:tcPr>
            <w:tcW w:w="2049" w:type="dxa"/>
          </w:tcPr>
          <w:p w14:paraId="6A4EAB2B" w14:textId="77777777" w:rsidR="00704626" w:rsidRPr="003C6DC5" w:rsidRDefault="00704626" w:rsidP="00F90E77">
            <w:pPr>
              <w:autoSpaceDE w:val="0"/>
              <w:autoSpaceDN w:val="0"/>
              <w:adjustRightInd w:val="0"/>
              <w:spacing w:after="0" w:line="240" w:lineRule="auto"/>
              <w:rPr>
                <w:rFonts w:cs="Arial"/>
                <w:color w:val="000000"/>
              </w:rPr>
            </w:pPr>
            <w:r w:rsidRPr="003C6DC5">
              <w:rPr>
                <w:rFonts w:cs="Calibri"/>
                <w:color w:val="000000"/>
              </w:rPr>
              <w:t xml:space="preserve">Harlaxton Energy Networks </w:t>
            </w:r>
          </w:p>
        </w:tc>
        <w:tc>
          <w:tcPr>
            <w:tcW w:w="2139" w:type="dxa"/>
            <w:gridSpan w:val="2"/>
          </w:tcPr>
          <w:p w14:paraId="6709843C" w14:textId="77777777" w:rsidR="00704626" w:rsidRPr="003C6DC5" w:rsidRDefault="00704626" w:rsidP="00F90E77">
            <w:pPr>
              <w:autoSpaceDE w:val="0"/>
              <w:autoSpaceDN w:val="0"/>
              <w:adjustRightInd w:val="0"/>
              <w:spacing w:after="0" w:line="240" w:lineRule="auto"/>
              <w:rPr>
                <w:rFonts w:cs="Calibri"/>
                <w:color w:val="000000"/>
              </w:rPr>
            </w:pPr>
            <w:r w:rsidRPr="003C6DC5">
              <w:rPr>
                <w:rFonts w:cs="Calibri"/>
                <w:color w:val="000000"/>
              </w:rPr>
              <w:t>Harlaxton Energy Networks</w:t>
            </w:r>
            <w:r>
              <w:rPr>
                <w:rFonts w:cs="Calibri"/>
                <w:color w:val="000000"/>
              </w:rPr>
              <w:t xml:space="preserve"> Ltd</w:t>
            </w:r>
          </w:p>
        </w:tc>
      </w:tr>
      <w:tr w:rsidR="00704626" w14:paraId="0C6E90D6"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vMerge/>
          </w:tcPr>
          <w:p w14:paraId="0D86FFC8" w14:textId="77777777" w:rsidR="00704626" w:rsidRPr="00720273" w:rsidRDefault="00704626" w:rsidP="00F90E77">
            <w:pPr>
              <w:autoSpaceDE w:val="0"/>
              <w:autoSpaceDN w:val="0"/>
              <w:adjustRightInd w:val="0"/>
              <w:spacing w:after="0" w:line="240" w:lineRule="auto"/>
              <w:rPr>
                <w:rFonts w:cs="Arial"/>
                <w:sz w:val="24"/>
                <w:szCs w:val="24"/>
              </w:rPr>
            </w:pPr>
          </w:p>
        </w:tc>
        <w:tc>
          <w:tcPr>
            <w:tcW w:w="1379" w:type="dxa"/>
          </w:tcPr>
          <w:p w14:paraId="0F0F5E7F" w14:textId="705449A1" w:rsidR="00704626" w:rsidRPr="003C6DC5" w:rsidRDefault="00550ADD" w:rsidP="00F90E77">
            <w:pPr>
              <w:autoSpaceDE w:val="0"/>
              <w:autoSpaceDN w:val="0"/>
              <w:adjustRightInd w:val="0"/>
              <w:spacing w:after="0" w:line="240" w:lineRule="auto"/>
              <w:rPr>
                <w:rFonts w:cs="Arial"/>
              </w:rPr>
            </w:pPr>
            <w:r>
              <w:rPr>
                <w:rFonts w:cs="Arial"/>
              </w:rPr>
              <w:t xml:space="preserve"> </w:t>
            </w:r>
            <w:r w:rsidR="00704626">
              <w:rPr>
                <w:rFonts w:cs="Arial"/>
              </w:rPr>
              <w:t>30</w:t>
            </w:r>
          </w:p>
        </w:tc>
        <w:tc>
          <w:tcPr>
            <w:tcW w:w="2049" w:type="dxa"/>
          </w:tcPr>
          <w:p w14:paraId="5BA8E283" w14:textId="472BAC1F" w:rsidR="00704626" w:rsidRPr="003C6DC5" w:rsidRDefault="00704626" w:rsidP="00F90E77">
            <w:pPr>
              <w:autoSpaceDE w:val="0"/>
              <w:autoSpaceDN w:val="0"/>
              <w:adjustRightInd w:val="0"/>
              <w:spacing w:after="0" w:line="240" w:lineRule="auto"/>
              <w:rPr>
                <w:rFonts w:cs="Calibri"/>
                <w:color w:val="000000"/>
              </w:rPr>
            </w:pPr>
            <w:r>
              <w:rPr>
                <w:rFonts w:cs="Calibri"/>
                <w:color w:val="000000"/>
              </w:rPr>
              <w:t>Peel Electricity Networks Limited</w:t>
            </w:r>
          </w:p>
        </w:tc>
        <w:tc>
          <w:tcPr>
            <w:tcW w:w="2139" w:type="dxa"/>
            <w:gridSpan w:val="2"/>
          </w:tcPr>
          <w:p w14:paraId="79069427" w14:textId="3EBD1C37" w:rsidR="00704626" w:rsidRPr="003C6DC5" w:rsidRDefault="00704626" w:rsidP="00F90E77">
            <w:pPr>
              <w:autoSpaceDE w:val="0"/>
              <w:autoSpaceDN w:val="0"/>
              <w:adjustRightInd w:val="0"/>
              <w:spacing w:after="0" w:line="240" w:lineRule="auto"/>
              <w:rPr>
                <w:rFonts w:cs="Calibri"/>
                <w:color w:val="000000"/>
              </w:rPr>
            </w:pPr>
            <w:r>
              <w:rPr>
                <w:rFonts w:cs="Calibri"/>
                <w:color w:val="000000"/>
              </w:rPr>
              <w:t>Peel Electricity Networks Limited</w:t>
            </w:r>
          </w:p>
        </w:tc>
      </w:tr>
      <w:tr w:rsidR="00CB6EC5" w14:paraId="20BAD31B" w14:textId="77777777" w:rsidTr="00CB6E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244"/>
        </w:trPr>
        <w:tc>
          <w:tcPr>
            <w:tcW w:w="1379" w:type="dxa"/>
          </w:tcPr>
          <w:p w14:paraId="1A7A8BEA" w14:textId="77777777" w:rsidR="00CB6EC5" w:rsidRPr="00FE7891" w:rsidRDefault="00CB6EC5" w:rsidP="00F90E77">
            <w:pPr>
              <w:pStyle w:val="Default"/>
              <w:rPr>
                <w:rFonts w:asciiTheme="minorHAnsi" w:hAnsiTheme="minorHAnsi"/>
              </w:rPr>
            </w:pPr>
            <w:r w:rsidRPr="00FE7891">
              <w:rPr>
                <w:rFonts w:asciiTheme="minorHAnsi" w:hAnsiTheme="minorHAnsi"/>
                <w:sz w:val="22"/>
                <w:szCs w:val="22"/>
              </w:rPr>
              <w:t xml:space="preserve">Distribution Connection and Use of System Agreement (DCUSA) </w:t>
            </w:r>
          </w:p>
          <w:p w14:paraId="6A5645BB" w14:textId="77777777" w:rsidR="00CB6EC5" w:rsidRPr="00720273" w:rsidRDefault="00CB6EC5" w:rsidP="00F90E77">
            <w:pPr>
              <w:autoSpaceDE w:val="0"/>
              <w:autoSpaceDN w:val="0"/>
              <w:adjustRightInd w:val="0"/>
              <w:spacing w:after="0" w:line="240" w:lineRule="auto"/>
              <w:rPr>
                <w:rFonts w:cs="Arial"/>
                <w:sz w:val="24"/>
                <w:szCs w:val="24"/>
              </w:rPr>
            </w:pPr>
          </w:p>
        </w:tc>
        <w:tc>
          <w:tcPr>
            <w:tcW w:w="5567" w:type="dxa"/>
            <w:gridSpan w:val="4"/>
          </w:tcPr>
          <w:p w14:paraId="0ABDF9D8" w14:textId="77777777" w:rsidR="00CB6EC5" w:rsidRPr="00FE7891" w:rsidRDefault="00CB6EC5" w:rsidP="00F90E77">
            <w:pPr>
              <w:pStyle w:val="Default"/>
              <w:rPr>
                <w:rFonts w:asciiTheme="minorHAnsi" w:hAnsiTheme="minorHAnsi"/>
                <w:sz w:val="22"/>
                <w:szCs w:val="22"/>
              </w:rPr>
            </w:pPr>
            <w:r w:rsidRPr="00FE7891">
              <w:rPr>
                <w:rFonts w:asciiTheme="minorHAnsi" w:hAnsiTheme="minorHAnsi"/>
                <w:sz w:val="22"/>
                <w:szCs w:val="22"/>
              </w:rPr>
              <w:t xml:space="preserve">The DCUSA is a multi-party contract between the licensed electricity distributors, suppliers, generators and Offshore Transmission Owners of Great Britain. </w:t>
            </w:r>
          </w:p>
          <w:p w14:paraId="35267DF4" w14:textId="77777777" w:rsidR="00CB6EC5" w:rsidRPr="00720273" w:rsidRDefault="00CB6EC5" w:rsidP="00F90E77">
            <w:pPr>
              <w:autoSpaceDE w:val="0"/>
              <w:autoSpaceDN w:val="0"/>
              <w:adjustRightInd w:val="0"/>
              <w:spacing w:after="0" w:line="240" w:lineRule="auto"/>
              <w:rPr>
                <w:rFonts w:cs="Arial"/>
                <w:color w:val="000000"/>
              </w:rPr>
            </w:pPr>
            <w:r w:rsidRPr="00FE7891">
              <w:t xml:space="preserve">It is a requirement that all licensed electricity distributors and suppliers become parties to the DCUSA. </w:t>
            </w:r>
          </w:p>
        </w:tc>
      </w:tr>
    </w:tbl>
    <w:p w14:paraId="3A418801" w14:textId="77777777" w:rsidR="008D0F41" w:rsidRDefault="008D0F41" w:rsidP="00140A36">
      <w:pPr>
        <w:autoSpaceDE w:val="0"/>
        <w:autoSpaceDN w:val="0"/>
        <w:adjustRightInd w:val="0"/>
        <w:spacing w:after="0" w:line="240" w:lineRule="auto"/>
        <w:rPr>
          <w:rFonts w:cs="Helvetica"/>
          <w:color w:val="000000"/>
          <w:sz w:val="20"/>
          <w:szCs w:val="20"/>
        </w:rPr>
      </w:pPr>
    </w:p>
    <w:p w14:paraId="7F0B55FE" w14:textId="77777777" w:rsidR="008D0F41" w:rsidRDefault="008D0F41" w:rsidP="00140A36">
      <w:pPr>
        <w:autoSpaceDE w:val="0"/>
        <w:autoSpaceDN w:val="0"/>
        <w:adjustRightInd w:val="0"/>
        <w:spacing w:after="0" w:line="240" w:lineRule="auto"/>
        <w:rPr>
          <w:rFonts w:cs="Helvetica"/>
          <w:color w:val="000000"/>
          <w:sz w:val="20"/>
          <w:szCs w:val="20"/>
        </w:rPr>
      </w:pPr>
    </w:p>
    <w:p w14:paraId="70EEE3FC" w14:textId="77777777" w:rsidR="008D0F41" w:rsidRDefault="008D0F41" w:rsidP="00140A36">
      <w:pPr>
        <w:autoSpaceDE w:val="0"/>
        <w:autoSpaceDN w:val="0"/>
        <w:adjustRightInd w:val="0"/>
        <w:spacing w:after="0" w:line="240" w:lineRule="auto"/>
        <w:rPr>
          <w:rFonts w:cs="Helvetica"/>
          <w:color w:val="000000"/>
          <w:sz w:val="20"/>
          <w:szCs w:val="20"/>
        </w:rPr>
      </w:pPr>
    </w:p>
    <w:p w14:paraId="17AD3E59" w14:textId="77777777" w:rsidR="008D0F41" w:rsidRDefault="008D0F41" w:rsidP="00140A36">
      <w:pPr>
        <w:autoSpaceDE w:val="0"/>
        <w:autoSpaceDN w:val="0"/>
        <w:adjustRightInd w:val="0"/>
        <w:spacing w:after="0" w:line="240" w:lineRule="auto"/>
        <w:rPr>
          <w:rFonts w:cs="Helvetica"/>
          <w:color w:val="000000"/>
          <w:sz w:val="20"/>
          <w:szCs w:val="20"/>
        </w:rPr>
      </w:pPr>
    </w:p>
    <w:p w14:paraId="6C3DA349" w14:textId="77777777" w:rsidR="008D0F41" w:rsidRDefault="008D0F41" w:rsidP="00140A36">
      <w:pPr>
        <w:autoSpaceDE w:val="0"/>
        <w:autoSpaceDN w:val="0"/>
        <w:adjustRightInd w:val="0"/>
        <w:spacing w:after="0" w:line="240" w:lineRule="auto"/>
        <w:rPr>
          <w:rFonts w:cs="Helvetica"/>
          <w:color w:val="000000"/>
          <w:sz w:val="20"/>
          <w:szCs w:val="20"/>
        </w:rPr>
      </w:pPr>
    </w:p>
    <w:p w14:paraId="13AE2840" w14:textId="77777777" w:rsidR="008D0F41" w:rsidRDefault="008D0F41" w:rsidP="00140A36">
      <w:pPr>
        <w:autoSpaceDE w:val="0"/>
        <w:autoSpaceDN w:val="0"/>
        <w:adjustRightInd w:val="0"/>
        <w:spacing w:after="0" w:line="240" w:lineRule="auto"/>
        <w:rPr>
          <w:rFonts w:cs="Helvetica"/>
          <w:color w:val="000000"/>
          <w:sz w:val="20"/>
          <w:szCs w:val="20"/>
        </w:rPr>
      </w:pPr>
    </w:p>
    <w:p w14:paraId="1B4AD520" w14:textId="77777777" w:rsidR="008D0F41" w:rsidRDefault="008D0F41" w:rsidP="00140A36">
      <w:pPr>
        <w:autoSpaceDE w:val="0"/>
        <w:autoSpaceDN w:val="0"/>
        <w:adjustRightInd w:val="0"/>
        <w:spacing w:after="0" w:line="240" w:lineRule="auto"/>
        <w:rPr>
          <w:rFonts w:cs="Helvetica"/>
          <w:color w:val="000000"/>
          <w:sz w:val="20"/>
          <w:szCs w:val="20"/>
        </w:rPr>
      </w:pPr>
    </w:p>
    <w:p w14:paraId="20DEF71B" w14:textId="77777777" w:rsidR="008D0F41" w:rsidRDefault="008D0F41" w:rsidP="00140A36">
      <w:pPr>
        <w:autoSpaceDE w:val="0"/>
        <w:autoSpaceDN w:val="0"/>
        <w:adjustRightInd w:val="0"/>
        <w:spacing w:after="0" w:line="240" w:lineRule="auto"/>
        <w:rPr>
          <w:rFonts w:cs="Helvetica"/>
          <w:color w:val="000000"/>
          <w:sz w:val="20"/>
          <w:szCs w:val="20"/>
        </w:rPr>
      </w:pPr>
    </w:p>
    <w:p w14:paraId="24BA8F6B" w14:textId="77777777" w:rsidR="008D0F41" w:rsidRDefault="008D0F41" w:rsidP="00140A36">
      <w:pPr>
        <w:autoSpaceDE w:val="0"/>
        <w:autoSpaceDN w:val="0"/>
        <w:adjustRightInd w:val="0"/>
        <w:spacing w:after="0" w:line="240" w:lineRule="auto"/>
        <w:rPr>
          <w:rFonts w:cs="Helvetica"/>
          <w:color w:val="000000"/>
          <w:sz w:val="20"/>
          <w:szCs w:val="20"/>
        </w:rPr>
      </w:pPr>
    </w:p>
    <w:p w14:paraId="241CAFB9" w14:textId="77777777" w:rsidR="008D0F41" w:rsidRPr="0069787F" w:rsidRDefault="008D0F41" w:rsidP="00140A36">
      <w:pPr>
        <w:autoSpaceDE w:val="0"/>
        <w:autoSpaceDN w:val="0"/>
        <w:adjustRightInd w:val="0"/>
        <w:spacing w:after="0" w:line="240" w:lineRule="auto"/>
        <w:rPr>
          <w:rFonts w:cs="Helvetica"/>
          <w:color w:val="000000"/>
          <w:sz w:val="20"/>
          <w:szCs w:val="20"/>
        </w:rPr>
      </w:pPr>
    </w:p>
    <w:p w14:paraId="7B8E1A5B" w14:textId="77777777" w:rsidR="00D9453F" w:rsidRPr="0069787F" w:rsidRDefault="00D9453F" w:rsidP="00140A36">
      <w:pPr>
        <w:autoSpaceDE w:val="0"/>
        <w:autoSpaceDN w:val="0"/>
        <w:adjustRightInd w:val="0"/>
        <w:spacing w:after="0" w:line="240" w:lineRule="auto"/>
        <w:rPr>
          <w:rFonts w:cs="Helvetica"/>
          <w:color w:val="000000"/>
          <w:sz w:val="20"/>
          <w:szCs w:val="20"/>
        </w:rPr>
      </w:pPr>
    </w:p>
    <w:p w14:paraId="15960035" w14:textId="77777777" w:rsidR="00D9453F" w:rsidRPr="0069787F" w:rsidRDefault="00D9453F" w:rsidP="00140A36">
      <w:pPr>
        <w:autoSpaceDE w:val="0"/>
        <w:autoSpaceDN w:val="0"/>
        <w:adjustRightInd w:val="0"/>
        <w:spacing w:after="0" w:line="240" w:lineRule="auto"/>
        <w:rPr>
          <w:rFonts w:cs="Helvetica"/>
          <w:color w:val="000000"/>
          <w:sz w:val="20"/>
          <w:szCs w:val="20"/>
        </w:rPr>
      </w:pPr>
    </w:p>
    <w:p w14:paraId="3692C181" w14:textId="77777777" w:rsidR="00D9453F" w:rsidRPr="0069787F" w:rsidRDefault="00D9453F" w:rsidP="00140A36">
      <w:pPr>
        <w:autoSpaceDE w:val="0"/>
        <w:autoSpaceDN w:val="0"/>
        <w:adjustRightInd w:val="0"/>
        <w:spacing w:after="0" w:line="240" w:lineRule="auto"/>
        <w:rPr>
          <w:rFonts w:cs="Helvetica"/>
          <w:color w:val="000000"/>
          <w:sz w:val="20"/>
          <w:szCs w:val="20"/>
        </w:rPr>
      </w:pPr>
    </w:p>
    <w:p w14:paraId="371639F2" w14:textId="77777777" w:rsidR="00D9453F" w:rsidRPr="0069787F" w:rsidRDefault="00D9453F" w:rsidP="00140A36">
      <w:pPr>
        <w:autoSpaceDE w:val="0"/>
        <w:autoSpaceDN w:val="0"/>
        <w:adjustRightInd w:val="0"/>
        <w:spacing w:after="0" w:line="240" w:lineRule="auto"/>
        <w:rPr>
          <w:rFonts w:cs="Helvetica"/>
          <w:color w:val="000000"/>
          <w:sz w:val="20"/>
          <w:szCs w:val="20"/>
        </w:rPr>
      </w:pPr>
    </w:p>
    <w:p w14:paraId="6AB9C8B6" w14:textId="77777777" w:rsidR="00D9453F" w:rsidRPr="0069787F" w:rsidRDefault="00D9453F" w:rsidP="00140A36">
      <w:pPr>
        <w:autoSpaceDE w:val="0"/>
        <w:autoSpaceDN w:val="0"/>
        <w:adjustRightInd w:val="0"/>
        <w:spacing w:after="0" w:line="240" w:lineRule="auto"/>
        <w:rPr>
          <w:rFonts w:cs="Helvetica"/>
          <w:color w:val="000000"/>
          <w:sz w:val="20"/>
          <w:szCs w:val="20"/>
        </w:rPr>
      </w:pPr>
    </w:p>
    <w:p w14:paraId="7455D91D" w14:textId="77777777" w:rsidR="00D9453F" w:rsidRPr="0069787F" w:rsidRDefault="00D9453F" w:rsidP="00140A36">
      <w:pPr>
        <w:autoSpaceDE w:val="0"/>
        <w:autoSpaceDN w:val="0"/>
        <w:adjustRightInd w:val="0"/>
        <w:spacing w:after="0" w:line="240" w:lineRule="auto"/>
        <w:rPr>
          <w:rFonts w:cs="Helvetica"/>
          <w:color w:val="000000"/>
          <w:sz w:val="20"/>
          <w:szCs w:val="20"/>
        </w:rPr>
      </w:pPr>
    </w:p>
    <w:p w14:paraId="1C771610" w14:textId="77777777" w:rsidR="00D9453F" w:rsidRPr="0069787F" w:rsidRDefault="00D9453F" w:rsidP="00140A36">
      <w:pPr>
        <w:autoSpaceDE w:val="0"/>
        <w:autoSpaceDN w:val="0"/>
        <w:adjustRightInd w:val="0"/>
        <w:spacing w:after="0" w:line="240" w:lineRule="auto"/>
        <w:rPr>
          <w:rFonts w:cs="Helvetica"/>
          <w:color w:val="000000"/>
          <w:sz w:val="20"/>
          <w:szCs w:val="20"/>
        </w:rPr>
      </w:pPr>
    </w:p>
    <w:p w14:paraId="1F962647" w14:textId="77777777" w:rsidR="00D9453F" w:rsidRDefault="00D9453F" w:rsidP="00140A36">
      <w:pPr>
        <w:autoSpaceDE w:val="0"/>
        <w:autoSpaceDN w:val="0"/>
        <w:adjustRightInd w:val="0"/>
        <w:spacing w:after="0" w:line="240" w:lineRule="auto"/>
        <w:rPr>
          <w:rFonts w:ascii="Book Antiqua" w:hAnsi="Book Antiqua" w:cs="Helvetica"/>
          <w:color w:val="000000"/>
          <w:sz w:val="20"/>
          <w:szCs w:val="20"/>
        </w:rPr>
      </w:pPr>
    </w:p>
    <w:p w14:paraId="5E4729B0" w14:textId="77777777" w:rsidR="00D9453F" w:rsidRDefault="00D9453F" w:rsidP="00140A36">
      <w:pPr>
        <w:autoSpaceDE w:val="0"/>
        <w:autoSpaceDN w:val="0"/>
        <w:adjustRightInd w:val="0"/>
        <w:spacing w:after="0" w:line="240" w:lineRule="auto"/>
        <w:rPr>
          <w:rFonts w:ascii="Book Antiqua" w:hAnsi="Book Antiqua" w:cs="Helvetica"/>
          <w:color w:val="000000"/>
          <w:sz w:val="20"/>
          <w:szCs w:val="20"/>
        </w:rPr>
      </w:pPr>
    </w:p>
    <w:p w14:paraId="6B17321B" w14:textId="77777777" w:rsidR="00D9453F" w:rsidRDefault="00D9453F" w:rsidP="00D9453F">
      <w:pPr>
        <w:autoSpaceDE w:val="0"/>
        <w:autoSpaceDN w:val="0"/>
        <w:adjustRightInd w:val="0"/>
        <w:spacing w:after="0" w:line="240" w:lineRule="auto"/>
        <w:rPr>
          <w:rFonts w:ascii="Book Antiqua" w:hAnsi="Book Antiqua" w:cs="Helvetica"/>
          <w:color w:val="000000"/>
          <w:sz w:val="20"/>
          <w:szCs w:val="20"/>
        </w:rPr>
      </w:pPr>
    </w:p>
    <w:p w14:paraId="73EA2899" w14:textId="77777777" w:rsidR="00D9453F" w:rsidRPr="00CD4EDF" w:rsidRDefault="00D9453F" w:rsidP="00D9453F">
      <w:pPr>
        <w:autoSpaceDE w:val="0"/>
        <w:autoSpaceDN w:val="0"/>
        <w:adjustRightInd w:val="0"/>
        <w:spacing w:after="0" w:line="240" w:lineRule="auto"/>
        <w:rPr>
          <w:rFonts w:ascii="Book Antiqua" w:hAnsi="Book Antiqua" w:cs="Helvetica"/>
          <w:color w:val="000000"/>
          <w:sz w:val="20"/>
          <w:szCs w:val="20"/>
        </w:rPr>
      </w:pPr>
    </w:p>
    <w:p w14:paraId="792459E8" w14:textId="77777777" w:rsidR="008D0F41" w:rsidRPr="00703854" w:rsidRDefault="008D0F41" w:rsidP="00BD1482">
      <w:pPr>
        <w:autoSpaceDE w:val="0"/>
        <w:autoSpaceDN w:val="0"/>
        <w:adjustRightInd w:val="0"/>
        <w:spacing w:after="0" w:line="240" w:lineRule="auto"/>
        <w:rPr>
          <w:rFonts w:ascii="Book Antiqua" w:hAnsi="Book Antiqua" w:cs="Helvetica"/>
          <w:sz w:val="16"/>
          <w:szCs w:val="16"/>
        </w:rPr>
      </w:pPr>
    </w:p>
    <w:p w14:paraId="029A21E1" w14:textId="77777777" w:rsidR="008D0F41" w:rsidRDefault="008D0F41" w:rsidP="00BD1482">
      <w:pPr>
        <w:autoSpaceDE w:val="0"/>
        <w:autoSpaceDN w:val="0"/>
        <w:adjustRightInd w:val="0"/>
        <w:spacing w:after="0" w:line="240" w:lineRule="auto"/>
        <w:rPr>
          <w:rFonts w:ascii="Book Antiqua" w:hAnsi="Book Antiqua" w:cs="Helvetica"/>
          <w:color w:val="0000FF"/>
          <w:sz w:val="16"/>
          <w:szCs w:val="16"/>
        </w:rPr>
      </w:pPr>
    </w:p>
    <w:p w14:paraId="6E126D4F" w14:textId="77777777" w:rsidR="008D0F41" w:rsidRDefault="008D0F41" w:rsidP="00BD1482">
      <w:pPr>
        <w:autoSpaceDE w:val="0"/>
        <w:autoSpaceDN w:val="0"/>
        <w:adjustRightInd w:val="0"/>
        <w:spacing w:after="0" w:line="240" w:lineRule="auto"/>
        <w:rPr>
          <w:rFonts w:ascii="Book Antiqua" w:hAnsi="Book Antiqua" w:cs="Helvetica"/>
          <w:color w:val="0000FF"/>
          <w:sz w:val="16"/>
          <w:szCs w:val="16"/>
        </w:rPr>
      </w:pPr>
    </w:p>
    <w:p w14:paraId="53F84EDC" w14:textId="77777777"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14:paraId="77F632B3" w14:textId="77777777"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14:paraId="3B03E2A1" w14:textId="77777777"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14:paraId="1F1A2005" w14:textId="77777777"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14:paraId="484B1803" w14:textId="77777777"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14:paraId="03E50DC6" w14:textId="77777777" w:rsidR="008D0F41" w:rsidRDefault="008D0F41" w:rsidP="008D0F41">
      <w:pPr>
        <w:autoSpaceDE w:val="0"/>
        <w:autoSpaceDN w:val="0"/>
        <w:adjustRightInd w:val="0"/>
        <w:spacing w:after="0" w:line="240" w:lineRule="auto"/>
        <w:jc w:val="center"/>
        <w:rPr>
          <w:rFonts w:ascii="Book Antiqua" w:hAnsi="Book Antiqua" w:cs="Helvetica"/>
          <w:b/>
          <w:szCs w:val="16"/>
          <w:u w:val="single"/>
        </w:rPr>
      </w:pPr>
    </w:p>
    <w:p w14:paraId="054E20E0" w14:textId="77777777" w:rsidR="008D0F41" w:rsidRDefault="008D0F41" w:rsidP="008D0F41">
      <w:pPr>
        <w:autoSpaceDE w:val="0"/>
        <w:autoSpaceDN w:val="0"/>
        <w:adjustRightInd w:val="0"/>
        <w:spacing w:after="0" w:line="240" w:lineRule="auto"/>
        <w:jc w:val="center"/>
        <w:rPr>
          <w:rFonts w:ascii="Book Antiqua" w:hAnsi="Book Antiqua"/>
          <w:b/>
          <w:sz w:val="32"/>
          <w:u w:val="single"/>
        </w:rPr>
      </w:pPr>
    </w:p>
    <w:p w14:paraId="214FF0D7"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12D73C2E"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662C5C8B"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4EE7244D"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146875B7"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0678BBDC"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60CB9A3F"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7DE94CFB"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7A3B412D"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4E404F43"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142D972F"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340D9162"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078F35FF"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1C171F80"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3E203D41"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4232"/>
      </w:tblGrid>
      <w:tr w:rsidR="001A54ED" w:rsidRPr="001A54ED" w14:paraId="27E4E007" w14:textId="77777777" w:rsidTr="001A54ED">
        <w:trPr>
          <w:trHeight w:val="107"/>
        </w:trPr>
        <w:tc>
          <w:tcPr>
            <w:tcW w:w="4232" w:type="dxa"/>
          </w:tcPr>
          <w:p w14:paraId="0854C64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lastRenderedPageBreak/>
              <w:t xml:space="preserve">Term </w:t>
            </w:r>
          </w:p>
        </w:tc>
        <w:tc>
          <w:tcPr>
            <w:tcW w:w="4232" w:type="dxa"/>
          </w:tcPr>
          <w:p w14:paraId="3746883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14:paraId="5E580F0D" w14:textId="77777777" w:rsidTr="001A54ED">
        <w:trPr>
          <w:trHeight w:val="505"/>
        </w:trPr>
        <w:tc>
          <w:tcPr>
            <w:tcW w:w="4232" w:type="dxa"/>
          </w:tcPr>
          <w:p w14:paraId="127346E9"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Distribution Network Operator (DNO) </w:t>
            </w:r>
          </w:p>
        </w:tc>
        <w:tc>
          <w:tcPr>
            <w:tcW w:w="4232" w:type="dxa"/>
          </w:tcPr>
          <w:p w14:paraId="6B740E5E"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electricity distributor that operates one of the 14 distribution services areas and in whose electricity distribution licence the requirements of Section B of the standard conditions of that licence have effect. </w:t>
            </w:r>
          </w:p>
        </w:tc>
      </w:tr>
      <w:tr w:rsidR="00456A9C" w:rsidRPr="001A54ED" w14:paraId="42DB6E81" w14:textId="77777777" w:rsidTr="00456A9C">
        <w:trPr>
          <w:trHeight w:val="373"/>
        </w:trPr>
        <w:tc>
          <w:tcPr>
            <w:tcW w:w="4232" w:type="dxa"/>
          </w:tcPr>
          <w:p w14:paraId="49B678BF" w14:textId="77777777" w:rsidR="00456A9C" w:rsidRPr="001A54ED" w:rsidRDefault="00456A9C" w:rsidP="00456A9C">
            <w:pPr>
              <w:autoSpaceDE w:val="0"/>
              <w:autoSpaceDN w:val="0"/>
              <w:adjustRightInd w:val="0"/>
              <w:spacing w:after="0" w:line="240" w:lineRule="auto"/>
              <w:rPr>
                <w:rFonts w:cs="Tahoma"/>
                <w:color w:val="000000"/>
              </w:rPr>
            </w:pPr>
            <w:r w:rsidRPr="001A54ED">
              <w:rPr>
                <w:rFonts w:cs="Tahoma"/>
                <w:color w:val="000000"/>
              </w:rPr>
              <w:t xml:space="preserve">Distribution Services Area </w:t>
            </w:r>
          </w:p>
        </w:tc>
        <w:tc>
          <w:tcPr>
            <w:tcW w:w="4232" w:type="dxa"/>
          </w:tcPr>
          <w:p w14:paraId="7843247B" w14:textId="77777777" w:rsidR="00456A9C" w:rsidRPr="001A54ED" w:rsidRDefault="00456A9C" w:rsidP="00456A9C">
            <w:pPr>
              <w:autoSpaceDE w:val="0"/>
              <w:autoSpaceDN w:val="0"/>
              <w:adjustRightInd w:val="0"/>
              <w:spacing w:after="0" w:line="240" w:lineRule="auto"/>
              <w:rPr>
                <w:rFonts w:cs="Tahoma"/>
                <w:color w:val="000000"/>
              </w:rPr>
            </w:pPr>
            <w:r w:rsidRPr="001A54ED">
              <w:rPr>
                <w:rFonts w:cs="Tahoma"/>
                <w:color w:val="000000"/>
              </w:rPr>
              <w:t xml:space="preserve">The area specified by the Gas and Electricity Markets Authority within which each DNO must provide specified distribution services. </w:t>
            </w:r>
          </w:p>
        </w:tc>
      </w:tr>
      <w:tr w:rsidR="001A54ED" w:rsidRPr="001A54ED" w14:paraId="4D2BEA3A" w14:textId="77777777" w:rsidTr="001A54ED">
        <w:trPr>
          <w:trHeight w:val="373"/>
        </w:trPr>
        <w:tc>
          <w:tcPr>
            <w:tcW w:w="4232" w:type="dxa"/>
          </w:tcPr>
          <w:p w14:paraId="73465CEE" w14:textId="4F5F45B7" w:rsidR="001A54ED" w:rsidRPr="001A54ED" w:rsidRDefault="001A54ED" w:rsidP="00456A9C">
            <w:pPr>
              <w:autoSpaceDE w:val="0"/>
              <w:autoSpaceDN w:val="0"/>
              <w:adjustRightInd w:val="0"/>
              <w:spacing w:after="0" w:line="240" w:lineRule="auto"/>
              <w:rPr>
                <w:rFonts w:cs="Tahoma"/>
                <w:color w:val="000000"/>
              </w:rPr>
            </w:pPr>
            <w:r w:rsidRPr="001A54ED">
              <w:rPr>
                <w:rFonts w:cs="Tahoma"/>
                <w:color w:val="000000"/>
              </w:rPr>
              <w:t xml:space="preserve">Distribution Services </w:t>
            </w:r>
            <w:r w:rsidR="00456A9C">
              <w:rPr>
                <w:rFonts w:cs="Tahoma"/>
                <w:color w:val="000000"/>
              </w:rPr>
              <w:t>Provider</w:t>
            </w:r>
            <w:r w:rsidRPr="001A54ED">
              <w:rPr>
                <w:rFonts w:cs="Tahoma"/>
                <w:color w:val="000000"/>
              </w:rPr>
              <w:t xml:space="preserve"> </w:t>
            </w:r>
          </w:p>
        </w:tc>
        <w:tc>
          <w:tcPr>
            <w:tcW w:w="4232" w:type="dxa"/>
          </w:tcPr>
          <w:p w14:paraId="6D681649" w14:textId="5F6275BD" w:rsidR="001A54ED" w:rsidRPr="001A54ED" w:rsidRDefault="00456A9C" w:rsidP="00456A9C">
            <w:pPr>
              <w:autoSpaceDE w:val="0"/>
              <w:autoSpaceDN w:val="0"/>
              <w:adjustRightInd w:val="0"/>
              <w:spacing w:after="0" w:line="240" w:lineRule="auto"/>
              <w:rPr>
                <w:rFonts w:cs="Tahoma"/>
                <w:color w:val="000000"/>
              </w:rPr>
            </w:pPr>
            <w:r>
              <w:rPr>
                <w:rFonts w:cs="Tahoma"/>
                <w:color w:val="000000"/>
              </w:rPr>
              <w:t xml:space="preserve">A DNO which has a </w:t>
            </w:r>
            <w:r w:rsidRPr="001A54ED">
              <w:rPr>
                <w:rFonts w:cs="Tahoma"/>
                <w:color w:val="000000"/>
              </w:rPr>
              <w:t>Distribution Services Are</w:t>
            </w:r>
            <w:r>
              <w:rPr>
                <w:rFonts w:cs="Tahoma"/>
                <w:color w:val="000000"/>
              </w:rPr>
              <w:t>a.</w:t>
            </w:r>
          </w:p>
        </w:tc>
      </w:tr>
      <w:tr w:rsidR="001A54ED" w:rsidRPr="001A54ED" w14:paraId="20DBB649" w14:textId="77777777" w:rsidTr="001A54ED">
        <w:trPr>
          <w:trHeight w:val="2353"/>
        </w:trPr>
        <w:tc>
          <w:tcPr>
            <w:tcW w:w="4232" w:type="dxa"/>
          </w:tcPr>
          <w:p w14:paraId="28C588B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Distribution System </w:t>
            </w:r>
          </w:p>
        </w:tc>
        <w:tc>
          <w:tcPr>
            <w:tcW w:w="4232" w:type="dxa"/>
          </w:tcPr>
          <w:p w14:paraId="3D1A9F8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system consisting (wholly or mainly) of electric lines owned or operated by an authorised distributor that is used for the distribution of electricity from: </w:t>
            </w:r>
          </w:p>
          <w:p w14:paraId="5BBEFB41" w14:textId="06FBF138" w:rsidR="001A54ED" w:rsidRPr="00550ADD" w:rsidRDefault="001A54ED" w:rsidP="0000088E">
            <w:pPr>
              <w:pStyle w:val="ListParagraph"/>
              <w:numPr>
                <w:ilvl w:val="0"/>
                <w:numId w:val="8"/>
              </w:numPr>
              <w:autoSpaceDE w:val="0"/>
              <w:autoSpaceDN w:val="0"/>
              <w:adjustRightInd w:val="0"/>
              <w:spacing w:after="0" w:line="240" w:lineRule="auto"/>
              <w:rPr>
                <w:rFonts w:cs="Tahoma"/>
                <w:color w:val="000000"/>
              </w:rPr>
            </w:pPr>
            <w:r w:rsidRPr="00550ADD">
              <w:rPr>
                <w:rFonts w:cs="Tahoma"/>
                <w:color w:val="000000"/>
              </w:rPr>
              <w:t xml:space="preserve">Grid Supply Points or generation sets or other entry points to the points of delivery to: </w:t>
            </w:r>
          </w:p>
          <w:p w14:paraId="48B9E1F3" w14:textId="77777777" w:rsidR="001A54ED" w:rsidRPr="003B293A" w:rsidRDefault="001A54ED" w:rsidP="003B293A">
            <w:pPr>
              <w:pStyle w:val="ListParagraph"/>
              <w:numPr>
                <w:ilvl w:val="0"/>
                <w:numId w:val="8"/>
              </w:numPr>
              <w:autoSpaceDE w:val="0"/>
              <w:autoSpaceDN w:val="0"/>
              <w:adjustRightInd w:val="0"/>
              <w:spacing w:after="0" w:line="240" w:lineRule="auto"/>
              <w:rPr>
                <w:rFonts w:cs="Tahoma"/>
                <w:color w:val="000000"/>
              </w:rPr>
            </w:pPr>
            <w:r w:rsidRPr="003B293A">
              <w:rPr>
                <w:rFonts w:cs="Tahoma"/>
                <w:color w:val="000000"/>
              </w:rPr>
              <w:t xml:space="preserve">Customers or Users or any transmission licensee in its capacity as operator of that licensee’s transmission system or the Great Britain (GB) transmission system and includes any remote transmission assets (owned by a transmission licensee within England and Wales) </w:t>
            </w:r>
          </w:p>
          <w:p w14:paraId="1E1E125A" w14:textId="77777777" w:rsidR="001A54ED" w:rsidRPr="001A54ED" w:rsidRDefault="001A54ED" w:rsidP="001A54ED">
            <w:pPr>
              <w:autoSpaceDE w:val="0"/>
              <w:autoSpaceDN w:val="0"/>
              <w:adjustRightInd w:val="0"/>
              <w:spacing w:after="0" w:line="240" w:lineRule="auto"/>
              <w:rPr>
                <w:rFonts w:cs="Tahoma"/>
                <w:color w:val="000000"/>
              </w:rPr>
            </w:pPr>
          </w:p>
          <w:p w14:paraId="02B2CFD4"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that are operated by that authorised distributor and any electrical plant, electricity meters, and metering equipment owned or operated by it in connection with the distribution of electricity, but does not include any part of the GB transmission system. </w:t>
            </w:r>
          </w:p>
        </w:tc>
      </w:tr>
      <w:tr w:rsidR="001A54ED" w:rsidRPr="001A54ED" w14:paraId="37AB9A8F" w14:textId="77777777" w:rsidTr="001A54ED">
        <w:trPr>
          <w:trHeight w:val="373"/>
        </w:trPr>
        <w:tc>
          <w:tcPr>
            <w:tcW w:w="4232" w:type="dxa"/>
          </w:tcPr>
          <w:p w14:paraId="27ECBFD4"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EHV Distribution Charging Methodology (EDCM) </w:t>
            </w:r>
          </w:p>
        </w:tc>
        <w:tc>
          <w:tcPr>
            <w:tcW w:w="4232" w:type="dxa"/>
          </w:tcPr>
          <w:p w14:paraId="4087E010"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EDCM used for calculating charges to Designated EHV Properties as required by standard licence condition 13B of the Electricity Distribution Licence. </w:t>
            </w:r>
          </w:p>
        </w:tc>
      </w:tr>
      <w:tr w:rsidR="001A54ED" w:rsidRPr="001A54ED" w14:paraId="0BA18414" w14:textId="77777777" w:rsidTr="001A54ED">
        <w:trPr>
          <w:trHeight w:val="372"/>
        </w:trPr>
        <w:tc>
          <w:tcPr>
            <w:tcW w:w="4232" w:type="dxa"/>
          </w:tcPr>
          <w:p w14:paraId="4D55242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Electricity Distribution Licence </w:t>
            </w:r>
          </w:p>
        </w:tc>
        <w:tc>
          <w:tcPr>
            <w:tcW w:w="4232" w:type="dxa"/>
          </w:tcPr>
          <w:p w14:paraId="5658116E"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Electricity Distribution Licence granted or treated as granted pursuant to section 6(1) of the Electricity Act 1989. </w:t>
            </w:r>
          </w:p>
        </w:tc>
      </w:tr>
      <w:tr w:rsidR="001A54ED" w:rsidRPr="001A54ED" w14:paraId="618D450D" w14:textId="77777777" w:rsidTr="001A54ED">
        <w:trPr>
          <w:trHeight w:val="239"/>
        </w:trPr>
        <w:tc>
          <w:tcPr>
            <w:tcW w:w="4232" w:type="dxa"/>
          </w:tcPr>
          <w:p w14:paraId="4E54A1F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Electricity Distributor </w:t>
            </w:r>
          </w:p>
        </w:tc>
        <w:tc>
          <w:tcPr>
            <w:tcW w:w="4232" w:type="dxa"/>
          </w:tcPr>
          <w:p w14:paraId="1FD5A0F9"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Any person who is authorised by an Electricity Distribution Licence to distribute electricity. </w:t>
            </w:r>
          </w:p>
        </w:tc>
      </w:tr>
      <w:tr w:rsidR="001A54ED" w:rsidRPr="001A54ED" w14:paraId="05C120E5" w14:textId="77777777" w:rsidTr="001A54ED">
        <w:trPr>
          <w:trHeight w:val="239"/>
        </w:trPr>
        <w:tc>
          <w:tcPr>
            <w:tcW w:w="4232" w:type="dxa"/>
          </w:tcPr>
          <w:p w14:paraId="039EE05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Embedded LDNO </w:t>
            </w:r>
          </w:p>
        </w:tc>
        <w:tc>
          <w:tcPr>
            <w:tcW w:w="4232" w:type="dxa"/>
          </w:tcPr>
          <w:p w14:paraId="01110A34"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This refers to an LDNO operating a distribution network which is embedded within another distribution network. </w:t>
            </w:r>
          </w:p>
        </w:tc>
      </w:tr>
      <w:tr w:rsidR="001A54ED" w:rsidRPr="001A54ED" w14:paraId="02858D0A" w14:textId="77777777" w:rsidTr="001A54ED">
        <w:trPr>
          <w:trHeight w:val="240"/>
        </w:trPr>
        <w:tc>
          <w:tcPr>
            <w:tcW w:w="4232" w:type="dxa"/>
          </w:tcPr>
          <w:p w14:paraId="5D17A6E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Embedded Network </w:t>
            </w:r>
          </w:p>
        </w:tc>
        <w:tc>
          <w:tcPr>
            <w:tcW w:w="4232" w:type="dxa"/>
          </w:tcPr>
          <w:p w14:paraId="6F6B4D68"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electricity Distribution System operated by an LDNO and embedded within another distribution network. </w:t>
            </w:r>
          </w:p>
        </w:tc>
      </w:tr>
    </w:tbl>
    <w:p w14:paraId="58806EA8"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9"/>
        <w:gridCol w:w="4199"/>
      </w:tblGrid>
      <w:tr w:rsidR="001A54ED" w:rsidRPr="001A54ED" w14:paraId="43CE5757" w14:textId="77777777" w:rsidTr="001A54ED">
        <w:trPr>
          <w:trHeight w:val="107"/>
        </w:trPr>
        <w:tc>
          <w:tcPr>
            <w:tcW w:w="4199" w:type="dxa"/>
          </w:tcPr>
          <w:p w14:paraId="5221FB73"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4199" w:type="dxa"/>
          </w:tcPr>
          <w:p w14:paraId="7CB84224"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14:paraId="5CAA8C67" w14:textId="77777777" w:rsidTr="001A54ED">
        <w:trPr>
          <w:trHeight w:val="638"/>
        </w:trPr>
        <w:tc>
          <w:tcPr>
            <w:tcW w:w="4199" w:type="dxa"/>
          </w:tcPr>
          <w:p w14:paraId="5DF96C9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Entry Point </w:t>
            </w:r>
          </w:p>
        </w:tc>
        <w:tc>
          <w:tcPr>
            <w:tcW w:w="4199" w:type="dxa"/>
          </w:tcPr>
          <w:p w14:paraId="44C88BDE"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boundary point at which electricity is exported onto a Distribution System from a connected installation or from another Distribution System, not forming part of the total system (boundary point and total system having the meaning given to those terms in the BSC). </w:t>
            </w:r>
          </w:p>
        </w:tc>
      </w:tr>
      <w:tr w:rsidR="001A54ED" w:rsidRPr="001A54ED" w14:paraId="2A9B88D0" w14:textId="77777777" w:rsidTr="001A54ED">
        <w:trPr>
          <w:trHeight w:val="505"/>
        </w:trPr>
        <w:tc>
          <w:tcPr>
            <w:tcW w:w="4199" w:type="dxa"/>
          </w:tcPr>
          <w:p w14:paraId="15D9339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Exit Point </w:t>
            </w:r>
          </w:p>
        </w:tc>
        <w:tc>
          <w:tcPr>
            <w:tcW w:w="4199" w:type="dxa"/>
          </w:tcPr>
          <w:p w14:paraId="489C2DF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point of connection at which a supply of electricity may flow from the Distribution System to the Customer’s installation or User’s installation or the Distribution System of another person. </w:t>
            </w:r>
          </w:p>
        </w:tc>
      </w:tr>
      <w:tr w:rsidR="001A54ED" w:rsidRPr="001A54ED" w14:paraId="27E7D63D" w14:textId="77777777" w:rsidTr="001A54ED">
        <w:trPr>
          <w:trHeight w:val="107"/>
        </w:trPr>
        <w:tc>
          <w:tcPr>
            <w:tcW w:w="4199" w:type="dxa"/>
          </w:tcPr>
          <w:p w14:paraId="2BDC5C9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Extra-High Voltage (EHV) </w:t>
            </w:r>
          </w:p>
        </w:tc>
        <w:tc>
          <w:tcPr>
            <w:tcW w:w="4199" w:type="dxa"/>
          </w:tcPr>
          <w:p w14:paraId="3FD9F70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Nominal voltages of 22kV and above. </w:t>
            </w:r>
          </w:p>
        </w:tc>
      </w:tr>
      <w:tr w:rsidR="001A54ED" w:rsidRPr="001A54ED" w14:paraId="024C5652" w14:textId="77777777" w:rsidTr="001A54ED">
        <w:trPr>
          <w:trHeight w:val="240"/>
        </w:trPr>
        <w:tc>
          <w:tcPr>
            <w:tcW w:w="4199" w:type="dxa"/>
          </w:tcPr>
          <w:p w14:paraId="0412A93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Gas and Electricity Markets Authority (GEMA) </w:t>
            </w:r>
          </w:p>
        </w:tc>
        <w:tc>
          <w:tcPr>
            <w:tcW w:w="4199" w:type="dxa"/>
          </w:tcPr>
          <w:p w14:paraId="5AF19E2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As established by the Utilities Act 2000. </w:t>
            </w:r>
          </w:p>
        </w:tc>
      </w:tr>
      <w:tr w:rsidR="001A54ED" w:rsidRPr="001A54ED" w14:paraId="30807E7E" w14:textId="77777777" w:rsidTr="001A54ED">
        <w:trPr>
          <w:trHeight w:val="505"/>
        </w:trPr>
        <w:tc>
          <w:tcPr>
            <w:tcW w:w="4199" w:type="dxa"/>
          </w:tcPr>
          <w:p w14:paraId="459844B5"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Grid Supply Point (GSP) </w:t>
            </w:r>
          </w:p>
        </w:tc>
        <w:tc>
          <w:tcPr>
            <w:tcW w:w="4199" w:type="dxa"/>
          </w:tcPr>
          <w:p w14:paraId="7D90A114"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metered connection between the National Grid Electricity Transmission system and the licensee’s distribution system at which electricity flows to or from the Distribution System. </w:t>
            </w:r>
          </w:p>
        </w:tc>
      </w:tr>
      <w:tr w:rsidR="001A54ED" w:rsidRPr="001A54ED" w14:paraId="166EB334" w14:textId="77777777" w:rsidTr="001A54ED">
        <w:trPr>
          <w:trHeight w:val="372"/>
        </w:trPr>
        <w:tc>
          <w:tcPr>
            <w:tcW w:w="4199" w:type="dxa"/>
          </w:tcPr>
          <w:p w14:paraId="4C8175E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GSP group </w:t>
            </w:r>
          </w:p>
        </w:tc>
        <w:tc>
          <w:tcPr>
            <w:tcW w:w="4199" w:type="dxa"/>
          </w:tcPr>
          <w:p w14:paraId="1D95C9E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distinct electrical system that is supplied from one or more GSPs for which total supply into the GSP group can be determined for each half hour. </w:t>
            </w:r>
          </w:p>
        </w:tc>
      </w:tr>
      <w:tr w:rsidR="001A54ED" w:rsidRPr="001A54ED" w14:paraId="23D579F3" w14:textId="77777777" w:rsidTr="001A54ED">
        <w:trPr>
          <w:trHeight w:val="107"/>
        </w:trPr>
        <w:tc>
          <w:tcPr>
            <w:tcW w:w="4199" w:type="dxa"/>
          </w:tcPr>
          <w:p w14:paraId="2FDD8C09"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High Voltage (HV) </w:t>
            </w:r>
          </w:p>
        </w:tc>
        <w:tc>
          <w:tcPr>
            <w:tcW w:w="4199" w:type="dxa"/>
          </w:tcPr>
          <w:p w14:paraId="61520D4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Nominal voltages of at least 1kV and less than 22kV. </w:t>
            </w:r>
          </w:p>
        </w:tc>
      </w:tr>
      <w:tr w:rsidR="00456A9C" w:rsidRPr="001A54ED" w14:paraId="2511AB92" w14:textId="77777777" w:rsidTr="001A54ED">
        <w:trPr>
          <w:trHeight w:val="372"/>
        </w:trPr>
        <w:tc>
          <w:tcPr>
            <w:tcW w:w="4199" w:type="dxa"/>
          </w:tcPr>
          <w:p w14:paraId="558A4E68" w14:textId="31EFD888" w:rsidR="00456A9C" w:rsidRPr="001A54ED" w:rsidRDefault="00456A9C" w:rsidP="001A54ED">
            <w:pPr>
              <w:autoSpaceDE w:val="0"/>
              <w:autoSpaceDN w:val="0"/>
              <w:adjustRightInd w:val="0"/>
              <w:spacing w:after="0" w:line="240" w:lineRule="auto"/>
              <w:rPr>
                <w:rFonts w:cs="Tahoma"/>
                <w:color w:val="000000"/>
              </w:rPr>
            </w:pPr>
            <w:r>
              <w:rPr>
                <w:rFonts w:cs="Tahoma"/>
                <w:color w:val="000000"/>
              </w:rPr>
              <w:t>Host DNO Area</w:t>
            </w:r>
          </w:p>
        </w:tc>
        <w:tc>
          <w:tcPr>
            <w:tcW w:w="4199" w:type="dxa"/>
          </w:tcPr>
          <w:p w14:paraId="35EECBEA" w14:textId="5B496650" w:rsidR="00456A9C" w:rsidRPr="001A54ED" w:rsidRDefault="00456A9C" w:rsidP="00456A9C">
            <w:pPr>
              <w:autoSpaceDE w:val="0"/>
              <w:autoSpaceDN w:val="0"/>
              <w:adjustRightInd w:val="0"/>
              <w:spacing w:after="0" w:line="240" w:lineRule="auto"/>
              <w:rPr>
                <w:rFonts w:cs="Tahoma"/>
                <w:color w:val="000000"/>
              </w:rPr>
            </w:pPr>
            <w:r>
              <w:t xml:space="preserve">The Distribution Services Area </w:t>
            </w:r>
            <w:r w:rsidRPr="00377F62">
              <w:t xml:space="preserve">relevant to the calculation of </w:t>
            </w:r>
            <w:r>
              <w:t xml:space="preserve">each </w:t>
            </w:r>
            <w:r w:rsidRPr="00377F62">
              <w:t>tariff</w:t>
            </w:r>
            <w:r>
              <w:t>, determined by following the approach set out in Section 1 of this document.</w:t>
            </w:r>
          </w:p>
        </w:tc>
      </w:tr>
      <w:tr w:rsidR="001A54ED" w:rsidRPr="001A54ED" w14:paraId="0AD2B7B4" w14:textId="77777777" w:rsidTr="001A54ED">
        <w:trPr>
          <w:trHeight w:val="372"/>
        </w:trPr>
        <w:tc>
          <w:tcPr>
            <w:tcW w:w="4199" w:type="dxa"/>
          </w:tcPr>
          <w:p w14:paraId="4FB4287B"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Invalid Settlement Combination </w:t>
            </w:r>
          </w:p>
        </w:tc>
        <w:tc>
          <w:tcPr>
            <w:tcW w:w="4199" w:type="dxa"/>
          </w:tcPr>
          <w:p w14:paraId="4D81E248"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Settlement combination that is not recognised as a valid combination in market domain data - see https://www.elexonportal.co.uk/MDDVIEWER. </w:t>
            </w:r>
          </w:p>
        </w:tc>
      </w:tr>
      <w:tr w:rsidR="001A54ED" w:rsidRPr="001A54ED" w14:paraId="28DCD88D" w14:textId="77777777" w:rsidTr="001A54ED">
        <w:trPr>
          <w:trHeight w:val="107"/>
        </w:trPr>
        <w:tc>
          <w:tcPr>
            <w:tcW w:w="4199" w:type="dxa"/>
          </w:tcPr>
          <w:p w14:paraId="50DE3C2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kVA </w:t>
            </w:r>
          </w:p>
        </w:tc>
        <w:tc>
          <w:tcPr>
            <w:tcW w:w="4199" w:type="dxa"/>
          </w:tcPr>
          <w:p w14:paraId="78B73E45"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Kilovolt amperes. </w:t>
            </w:r>
          </w:p>
        </w:tc>
      </w:tr>
      <w:tr w:rsidR="001A54ED" w:rsidRPr="001A54ED" w14:paraId="7B72B92C" w14:textId="77777777" w:rsidTr="001A54ED">
        <w:trPr>
          <w:trHeight w:val="107"/>
        </w:trPr>
        <w:tc>
          <w:tcPr>
            <w:tcW w:w="4199" w:type="dxa"/>
          </w:tcPr>
          <w:p w14:paraId="3B6C59E3"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kVArh </w:t>
            </w:r>
          </w:p>
        </w:tc>
        <w:tc>
          <w:tcPr>
            <w:tcW w:w="4199" w:type="dxa"/>
          </w:tcPr>
          <w:p w14:paraId="46C129F0"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Kilovolt ampere reactive hour. </w:t>
            </w:r>
          </w:p>
        </w:tc>
      </w:tr>
      <w:tr w:rsidR="001A54ED" w:rsidRPr="001A54ED" w14:paraId="43EA6A54" w14:textId="77777777" w:rsidTr="001A54ED">
        <w:trPr>
          <w:trHeight w:val="107"/>
        </w:trPr>
        <w:tc>
          <w:tcPr>
            <w:tcW w:w="4199" w:type="dxa"/>
          </w:tcPr>
          <w:p w14:paraId="7B36B6C8"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kW </w:t>
            </w:r>
          </w:p>
        </w:tc>
        <w:tc>
          <w:tcPr>
            <w:tcW w:w="4199" w:type="dxa"/>
          </w:tcPr>
          <w:p w14:paraId="7D0F02C6"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Kilowatt. </w:t>
            </w:r>
          </w:p>
        </w:tc>
      </w:tr>
      <w:tr w:rsidR="001A54ED" w:rsidRPr="001A54ED" w14:paraId="3689BF83" w14:textId="77777777" w:rsidTr="001A54ED">
        <w:trPr>
          <w:trHeight w:val="107"/>
        </w:trPr>
        <w:tc>
          <w:tcPr>
            <w:tcW w:w="4199" w:type="dxa"/>
          </w:tcPr>
          <w:p w14:paraId="12FDF0D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kWh </w:t>
            </w:r>
          </w:p>
        </w:tc>
        <w:tc>
          <w:tcPr>
            <w:tcW w:w="4199" w:type="dxa"/>
          </w:tcPr>
          <w:p w14:paraId="330DE15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Kilowatt hour (equivalent to one “unit” of electricity). </w:t>
            </w:r>
          </w:p>
        </w:tc>
      </w:tr>
      <w:tr w:rsidR="001A54ED" w:rsidRPr="001A54ED" w14:paraId="1D4CED20" w14:textId="77777777" w:rsidTr="001A54ED">
        <w:trPr>
          <w:trHeight w:val="270"/>
        </w:trPr>
        <w:tc>
          <w:tcPr>
            <w:tcW w:w="4199" w:type="dxa"/>
          </w:tcPr>
          <w:p w14:paraId="5D84CB52"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Licensed Distribution Network Operator (LDNO) </w:t>
            </w:r>
          </w:p>
        </w:tc>
        <w:tc>
          <w:tcPr>
            <w:tcW w:w="4199" w:type="dxa"/>
          </w:tcPr>
          <w:p w14:paraId="4A78F49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holder of a licence in respect of distribution activities in Great Britain. </w:t>
            </w:r>
          </w:p>
        </w:tc>
      </w:tr>
      <w:tr w:rsidR="001A54ED" w:rsidRPr="001A54ED" w14:paraId="039E03B4" w14:textId="77777777" w:rsidTr="001A54ED">
        <w:trPr>
          <w:trHeight w:val="373"/>
        </w:trPr>
        <w:tc>
          <w:tcPr>
            <w:tcW w:w="4199" w:type="dxa"/>
          </w:tcPr>
          <w:p w14:paraId="2B31A00B"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Line Loss Factor (LLF) </w:t>
            </w:r>
          </w:p>
        </w:tc>
        <w:tc>
          <w:tcPr>
            <w:tcW w:w="4199" w:type="dxa"/>
          </w:tcPr>
          <w:p w14:paraId="29D5A169"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factor that is used in Settlement to adjust the metering system volumes to take account of losses on the Distribution System. </w:t>
            </w:r>
          </w:p>
        </w:tc>
      </w:tr>
      <w:tr w:rsidR="001A54ED" w:rsidRPr="001A54ED" w14:paraId="3BFC9129" w14:textId="77777777" w:rsidTr="001A54ED">
        <w:trPr>
          <w:trHeight w:val="240"/>
        </w:trPr>
        <w:tc>
          <w:tcPr>
            <w:tcW w:w="4199" w:type="dxa"/>
          </w:tcPr>
          <w:p w14:paraId="6000B999"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Line Loss Factor Class (LLFC) </w:t>
            </w:r>
          </w:p>
        </w:tc>
        <w:tc>
          <w:tcPr>
            <w:tcW w:w="4199" w:type="dxa"/>
          </w:tcPr>
          <w:p w14:paraId="16DD1F0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identifier assigned to an SVA metering system which is used to assign the LLF and use of system charges. </w:t>
            </w:r>
          </w:p>
        </w:tc>
      </w:tr>
    </w:tbl>
    <w:p w14:paraId="63599328"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7E6F4762"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0E128359"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7745B3D6"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5106"/>
      </w:tblGrid>
      <w:tr w:rsidR="001A54ED" w:rsidRPr="001A54ED" w14:paraId="147FAB26" w14:textId="77777777" w:rsidTr="00CB6EC5">
        <w:trPr>
          <w:trHeight w:val="107"/>
        </w:trPr>
        <w:tc>
          <w:tcPr>
            <w:tcW w:w="4211" w:type="dxa"/>
          </w:tcPr>
          <w:p w14:paraId="48111606"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5106" w:type="dxa"/>
          </w:tcPr>
          <w:p w14:paraId="5286B2A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14:paraId="026993B3" w14:textId="77777777" w:rsidTr="00CB6EC5">
        <w:trPr>
          <w:trHeight w:val="268"/>
        </w:trPr>
        <w:tc>
          <w:tcPr>
            <w:tcW w:w="4211" w:type="dxa"/>
          </w:tcPr>
          <w:p w14:paraId="00D5906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Load Factor </w:t>
            </w:r>
          </w:p>
        </w:tc>
        <w:tc>
          <w:tcPr>
            <w:tcW w:w="5106" w:type="dxa"/>
          </w:tcPr>
          <w:p w14:paraId="1C123AE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Cambria Math"/>
                <w:color w:val="000000"/>
              </w:rPr>
              <w:t>=</w:t>
            </w:r>
            <w:r w:rsidRPr="001A54ED">
              <w:rPr>
                <w:rFonts w:ascii="Cambria Math" w:hAnsi="Cambria Math" w:cs="Cambria Math"/>
                <w:color w:val="000000"/>
              </w:rPr>
              <w:t>𝑎𝑛𝑛𝑢𝑎𝑙</w:t>
            </w:r>
            <w:r w:rsidRPr="001A54ED">
              <w:rPr>
                <w:rFonts w:cs="Cambria Math"/>
                <w:color w:val="000000"/>
              </w:rPr>
              <w:t xml:space="preserve"> </w:t>
            </w:r>
            <w:r w:rsidRPr="001A54ED">
              <w:rPr>
                <w:rFonts w:ascii="Cambria Math" w:hAnsi="Cambria Math" w:cs="Cambria Math"/>
                <w:color w:val="000000"/>
              </w:rPr>
              <w:t>𝑐𝑜𝑛𝑠𝑢𝑚𝑝𝑡𝑖𝑜𝑛</w:t>
            </w:r>
            <w:r w:rsidRPr="001A54ED">
              <w:rPr>
                <w:rFonts w:cs="Cambria Math"/>
                <w:color w:val="000000"/>
              </w:rPr>
              <w:t xml:space="preserve"> (</w:t>
            </w:r>
            <w:r w:rsidRPr="001A54ED">
              <w:rPr>
                <w:rFonts w:ascii="Cambria Math" w:hAnsi="Cambria Math" w:cs="Cambria Math"/>
                <w:color w:val="000000"/>
              </w:rPr>
              <w:t>𝑘𝑊ℎ</w:t>
            </w:r>
            <w:r w:rsidRPr="001A54ED">
              <w:rPr>
                <w:rFonts w:cs="Cambria Math"/>
                <w:color w:val="000000"/>
              </w:rPr>
              <w:t>)</w:t>
            </w:r>
            <w:r w:rsidRPr="001A54ED">
              <w:rPr>
                <w:rFonts w:ascii="Cambria Math" w:hAnsi="Cambria Math" w:cs="Cambria Math"/>
                <w:color w:val="000000"/>
              </w:rPr>
              <w:t>𝑚𝑎𝑥𝑖𝑚𝑢𝑚</w:t>
            </w:r>
            <w:r w:rsidRPr="001A54ED">
              <w:rPr>
                <w:rFonts w:cs="Cambria Math"/>
                <w:color w:val="000000"/>
              </w:rPr>
              <w:t xml:space="preserve"> </w:t>
            </w:r>
            <w:r w:rsidRPr="001A54ED">
              <w:rPr>
                <w:rFonts w:ascii="Cambria Math" w:hAnsi="Cambria Math" w:cs="Cambria Math"/>
                <w:color w:val="000000"/>
              </w:rPr>
              <w:t>𝑑𝑒𝑚𝑎𝑛𝑑</w:t>
            </w:r>
            <w:r w:rsidRPr="001A54ED">
              <w:rPr>
                <w:rFonts w:cs="Cambria Math"/>
                <w:color w:val="000000"/>
              </w:rPr>
              <w:t xml:space="preserve"> (</w:t>
            </w:r>
            <w:r w:rsidRPr="001A54ED">
              <w:rPr>
                <w:rFonts w:ascii="Cambria Math" w:hAnsi="Cambria Math" w:cs="Cambria Math"/>
                <w:color w:val="000000"/>
              </w:rPr>
              <w:t>𝑘𝑊</w:t>
            </w:r>
            <w:r w:rsidRPr="001A54ED">
              <w:rPr>
                <w:rFonts w:cs="Cambria Math"/>
                <w:color w:val="000000"/>
              </w:rPr>
              <w:t>)×</w:t>
            </w:r>
            <w:r w:rsidRPr="001A54ED">
              <w:rPr>
                <w:rFonts w:ascii="Cambria Math" w:hAnsi="Cambria Math" w:cs="Cambria Math"/>
                <w:color w:val="000000"/>
              </w:rPr>
              <w:t>ℎ𝑜𝑢𝑟𝑠</w:t>
            </w:r>
            <w:r w:rsidRPr="001A54ED">
              <w:rPr>
                <w:rFonts w:cs="Cambria Math"/>
                <w:color w:val="000000"/>
              </w:rPr>
              <w:t xml:space="preserve"> </w:t>
            </w:r>
            <w:r w:rsidRPr="001A54ED">
              <w:rPr>
                <w:rFonts w:ascii="Cambria Math" w:hAnsi="Cambria Math" w:cs="Cambria Math"/>
                <w:color w:val="000000"/>
              </w:rPr>
              <w:t>𝑖𝑛</w:t>
            </w:r>
            <w:r w:rsidRPr="001A54ED">
              <w:rPr>
                <w:rFonts w:cs="Cambria Math"/>
                <w:color w:val="000000"/>
              </w:rPr>
              <w:t xml:space="preserve"> </w:t>
            </w:r>
            <w:r w:rsidRPr="001A54ED">
              <w:rPr>
                <w:rFonts w:ascii="Cambria Math" w:hAnsi="Cambria Math" w:cs="Cambria Math"/>
                <w:color w:val="000000"/>
              </w:rPr>
              <w:t>𝑦𝑒𝑎𝑟</w:t>
            </w:r>
            <w:r w:rsidRPr="001A54ED">
              <w:rPr>
                <w:rFonts w:cs="Cambria Math"/>
                <w:color w:val="000000"/>
              </w:rPr>
              <w:t xml:space="preserve"> </w:t>
            </w:r>
          </w:p>
        </w:tc>
      </w:tr>
      <w:tr w:rsidR="001A54ED" w:rsidRPr="001A54ED" w14:paraId="110B37BA" w14:textId="77777777" w:rsidTr="00CB6EC5">
        <w:trPr>
          <w:trHeight w:val="107"/>
        </w:trPr>
        <w:tc>
          <w:tcPr>
            <w:tcW w:w="4211" w:type="dxa"/>
          </w:tcPr>
          <w:p w14:paraId="2753DD5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Low Voltage (LV) </w:t>
            </w:r>
          </w:p>
        </w:tc>
        <w:tc>
          <w:tcPr>
            <w:tcW w:w="5106" w:type="dxa"/>
          </w:tcPr>
          <w:p w14:paraId="575FCB68"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Nominal voltages below 1kV. </w:t>
            </w:r>
          </w:p>
        </w:tc>
      </w:tr>
      <w:tr w:rsidR="001A54ED" w:rsidRPr="001A54ED" w14:paraId="50B9A25C" w14:textId="77777777" w:rsidTr="00CB6EC5">
        <w:trPr>
          <w:trHeight w:val="373"/>
        </w:trPr>
        <w:tc>
          <w:tcPr>
            <w:tcW w:w="4211" w:type="dxa"/>
          </w:tcPr>
          <w:p w14:paraId="76659BC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Market Domain Data (MDD) </w:t>
            </w:r>
          </w:p>
        </w:tc>
        <w:tc>
          <w:tcPr>
            <w:tcW w:w="5106" w:type="dxa"/>
          </w:tcPr>
          <w:p w14:paraId="33153C5E"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MDD is a central repository of reference data available to all Users involved in Settlement. It is essential to the operation of SVA trading arrangements. </w:t>
            </w:r>
          </w:p>
        </w:tc>
      </w:tr>
      <w:tr w:rsidR="001A54ED" w:rsidRPr="001A54ED" w14:paraId="6A3F6A45" w14:textId="77777777" w:rsidTr="00CB6EC5">
        <w:trPr>
          <w:trHeight w:val="506"/>
        </w:trPr>
        <w:tc>
          <w:tcPr>
            <w:tcW w:w="4211" w:type="dxa"/>
          </w:tcPr>
          <w:p w14:paraId="7C9696C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Maximum Export Capacity (MEC) </w:t>
            </w:r>
          </w:p>
        </w:tc>
        <w:tc>
          <w:tcPr>
            <w:tcW w:w="5106" w:type="dxa"/>
          </w:tcPr>
          <w:p w14:paraId="382478E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MEC of apparent power expressed in kVA that has been agreed can flow through the entry point to the Distribution System from the Customer’s installation as specified in the connection agreement. </w:t>
            </w:r>
          </w:p>
        </w:tc>
      </w:tr>
      <w:tr w:rsidR="001A54ED" w:rsidRPr="001A54ED" w14:paraId="52B88F55" w14:textId="77777777" w:rsidTr="00CB6EC5">
        <w:trPr>
          <w:trHeight w:val="505"/>
        </w:trPr>
        <w:tc>
          <w:tcPr>
            <w:tcW w:w="4211" w:type="dxa"/>
          </w:tcPr>
          <w:p w14:paraId="1DDCBAED"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Maximum Import Capacity (MIC) </w:t>
            </w:r>
          </w:p>
        </w:tc>
        <w:tc>
          <w:tcPr>
            <w:tcW w:w="5106" w:type="dxa"/>
          </w:tcPr>
          <w:p w14:paraId="37FBD21E"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MIC of apparent power expressed in kVA that has been agreed can flow through the exit point from the Distribution System to the Customer’s installation as specified in the connection agreement. </w:t>
            </w:r>
          </w:p>
        </w:tc>
      </w:tr>
      <w:tr w:rsidR="001A54ED" w:rsidRPr="001A54ED" w14:paraId="1F528A7F" w14:textId="77777777" w:rsidTr="00CB6EC5">
        <w:trPr>
          <w:trHeight w:val="2664"/>
        </w:trPr>
        <w:tc>
          <w:tcPr>
            <w:tcW w:w="4211" w:type="dxa"/>
          </w:tcPr>
          <w:p w14:paraId="0D5F7FD5"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Measurement Class </w:t>
            </w:r>
          </w:p>
        </w:tc>
        <w:tc>
          <w:tcPr>
            <w:tcW w:w="5106" w:type="dxa"/>
          </w:tcPr>
          <w:p w14:paraId="23B7BA9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classification of metering systems used in the BSC which indicates how consumption is measured, i.e.: </w:t>
            </w:r>
          </w:p>
          <w:p w14:paraId="5A7DECC6" w14:textId="77777777"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A – non-half-hourly metering equipment; </w:t>
            </w:r>
          </w:p>
          <w:p w14:paraId="2BF1516E" w14:textId="77777777"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B – non-half-hourly unmetered supplies; </w:t>
            </w:r>
          </w:p>
          <w:p w14:paraId="63CDB935" w14:textId="77777777"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C – half-hourly metering equipment at or above 100kW premises; </w:t>
            </w:r>
          </w:p>
          <w:p w14:paraId="664714B2" w14:textId="77777777"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D – half-hourly unmetered supplies; and </w:t>
            </w:r>
          </w:p>
          <w:p w14:paraId="4FF1E6D3" w14:textId="77777777"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E – half-hourly metering equipment below 100kW premises, and from 5 November 2015, with current transformer. </w:t>
            </w:r>
          </w:p>
          <w:p w14:paraId="0E3117A7" w14:textId="77777777"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F – half hourly metering equipment at below 100kW premises with current transformer or whole current, and at domestic premises </w:t>
            </w:r>
          </w:p>
          <w:p w14:paraId="0C6523D5" w14:textId="77777777" w:rsidR="001A54ED" w:rsidRPr="00CB6EC5" w:rsidRDefault="001A54ED" w:rsidP="00CB6EC5">
            <w:pPr>
              <w:pStyle w:val="ListParagraph"/>
              <w:numPr>
                <w:ilvl w:val="0"/>
                <w:numId w:val="8"/>
              </w:numPr>
              <w:autoSpaceDE w:val="0"/>
              <w:autoSpaceDN w:val="0"/>
              <w:adjustRightInd w:val="0"/>
              <w:spacing w:after="0" w:line="240" w:lineRule="auto"/>
              <w:rPr>
                <w:rFonts w:cs="Tahoma"/>
                <w:color w:val="000000"/>
              </w:rPr>
            </w:pPr>
            <w:r w:rsidRPr="00CB6EC5">
              <w:rPr>
                <w:rFonts w:cs="Tahoma"/>
                <w:color w:val="000000"/>
              </w:rPr>
              <w:t xml:space="preserve">Measurement class G – half hourly metering equipment at below 100kW premises with whole current and not at domestic premises </w:t>
            </w:r>
          </w:p>
          <w:p w14:paraId="1F1C64C5" w14:textId="77777777" w:rsidR="001A54ED" w:rsidRPr="001A54ED" w:rsidRDefault="001A54ED" w:rsidP="001A54ED">
            <w:pPr>
              <w:autoSpaceDE w:val="0"/>
              <w:autoSpaceDN w:val="0"/>
              <w:adjustRightInd w:val="0"/>
              <w:spacing w:after="0" w:line="240" w:lineRule="auto"/>
              <w:rPr>
                <w:rFonts w:cs="Tahoma"/>
                <w:color w:val="000000"/>
              </w:rPr>
            </w:pPr>
          </w:p>
        </w:tc>
      </w:tr>
      <w:tr w:rsidR="001A54ED" w:rsidRPr="001A54ED" w14:paraId="44E8EDEC" w14:textId="77777777" w:rsidTr="00CB6EC5">
        <w:trPr>
          <w:trHeight w:val="638"/>
        </w:trPr>
        <w:tc>
          <w:tcPr>
            <w:tcW w:w="4211" w:type="dxa"/>
          </w:tcPr>
          <w:p w14:paraId="3C97F51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 Timeswitch Code (MTC) </w:t>
            </w:r>
          </w:p>
        </w:tc>
        <w:tc>
          <w:tcPr>
            <w:tcW w:w="5106" w:type="dxa"/>
          </w:tcPr>
          <w:p w14:paraId="2CA1593B"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MTCs are three digit codes allowing suppliers to identify the metering installed in Customers’ premises. They indicate whether the meter is single or multi-rate, pre-payment or credit, or whether it is ‘related’ to another meter. Further information can be found in MDD. </w:t>
            </w:r>
          </w:p>
        </w:tc>
      </w:tr>
    </w:tbl>
    <w:p w14:paraId="36FC4722"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0741B95F"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7F713911"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35A72CEC"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69733B5D"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1"/>
        <w:gridCol w:w="5106"/>
      </w:tblGrid>
      <w:tr w:rsidR="001A54ED" w:rsidRPr="001A54ED" w14:paraId="22E1AA90" w14:textId="77777777" w:rsidTr="00CB6EC5">
        <w:trPr>
          <w:trHeight w:val="107"/>
        </w:trPr>
        <w:tc>
          <w:tcPr>
            <w:tcW w:w="4211" w:type="dxa"/>
          </w:tcPr>
          <w:p w14:paraId="04B952A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5106" w:type="dxa"/>
          </w:tcPr>
          <w:p w14:paraId="54A396EB"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14:paraId="01C791AB" w14:textId="77777777" w:rsidTr="00CB6EC5">
        <w:trPr>
          <w:trHeight w:val="770"/>
        </w:trPr>
        <w:tc>
          <w:tcPr>
            <w:tcW w:w="4211" w:type="dxa"/>
          </w:tcPr>
          <w:p w14:paraId="46590D16"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Point </w:t>
            </w:r>
          </w:p>
        </w:tc>
        <w:tc>
          <w:tcPr>
            <w:tcW w:w="5106" w:type="dxa"/>
          </w:tcPr>
          <w:p w14:paraId="6157D65D"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point at which electricity that is exported to or imported from the licensee’s Distribution System is measured, is deemed to be measured, or is intended to be measured and which is registered pursuant to the provisions of the MRA. For the purposes of this statement, GSPs are not ‘metering points’. </w:t>
            </w:r>
          </w:p>
        </w:tc>
      </w:tr>
      <w:tr w:rsidR="001A54ED" w:rsidRPr="001A54ED" w14:paraId="43D9F3E6" w14:textId="77777777" w:rsidTr="00CB6EC5">
        <w:trPr>
          <w:trHeight w:val="372"/>
        </w:trPr>
        <w:tc>
          <w:tcPr>
            <w:tcW w:w="4211" w:type="dxa"/>
          </w:tcPr>
          <w:p w14:paraId="602C057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Point Administration Number (MPAN) </w:t>
            </w:r>
          </w:p>
        </w:tc>
        <w:tc>
          <w:tcPr>
            <w:tcW w:w="5106" w:type="dxa"/>
          </w:tcPr>
          <w:p w14:paraId="13DA96D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number relating to a Metering Point under the MRA. </w:t>
            </w:r>
          </w:p>
        </w:tc>
      </w:tr>
      <w:tr w:rsidR="001A54ED" w:rsidRPr="001A54ED" w14:paraId="4E0209D1" w14:textId="77777777" w:rsidTr="00CB6EC5">
        <w:trPr>
          <w:trHeight w:val="372"/>
        </w:trPr>
        <w:tc>
          <w:tcPr>
            <w:tcW w:w="4211" w:type="dxa"/>
          </w:tcPr>
          <w:p w14:paraId="1B6E9C1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System </w:t>
            </w:r>
          </w:p>
        </w:tc>
        <w:tc>
          <w:tcPr>
            <w:tcW w:w="5106" w:type="dxa"/>
          </w:tcPr>
          <w:p w14:paraId="7D660606"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Particular commissioned metering equipment installed for the purposes of measuring the quantities of exports and/or imports at the exit point or entry point. </w:t>
            </w:r>
          </w:p>
        </w:tc>
      </w:tr>
      <w:tr w:rsidR="001A54ED" w:rsidRPr="001A54ED" w14:paraId="6C6ED8B4" w14:textId="77777777" w:rsidTr="00CB6EC5">
        <w:trPr>
          <w:trHeight w:val="372"/>
        </w:trPr>
        <w:tc>
          <w:tcPr>
            <w:tcW w:w="4211" w:type="dxa"/>
          </w:tcPr>
          <w:p w14:paraId="3F3F77A9"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Metering System Identifier (MSID) </w:t>
            </w:r>
          </w:p>
        </w:tc>
        <w:tc>
          <w:tcPr>
            <w:tcW w:w="5106" w:type="dxa"/>
          </w:tcPr>
          <w:p w14:paraId="00DE54FB"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MSID is a term used throughout the BSC and its subsidiary documents and has the same meaning as MPAN as used under the MRA. </w:t>
            </w:r>
          </w:p>
        </w:tc>
      </w:tr>
      <w:tr w:rsidR="001A54ED" w:rsidRPr="001A54ED" w14:paraId="719A0202" w14:textId="77777777" w:rsidTr="00CB6EC5">
        <w:trPr>
          <w:trHeight w:val="505"/>
        </w:trPr>
        <w:tc>
          <w:tcPr>
            <w:tcW w:w="4211" w:type="dxa"/>
          </w:tcPr>
          <w:p w14:paraId="737C6215"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Master Registration Agreement (MRA) </w:t>
            </w:r>
          </w:p>
        </w:tc>
        <w:tc>
          <w:tcPr>
            <w:tcW w:w="5106" w:type="dxa"/>
          </w:tcPr>
          <w:p w14:paraId="05CBAC34"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MRA is an Agreement that sets out terms for the provision of Metering Point Administration Services (MPAS) Registrations, and procedures in relation to the Change of Supplier to any premise/metering point. </w:t>
            </w:r>
          </w:p>
        </w:tc>
      </w:tr>
      <w:tr w:rsidR="001A54ED" w:rsidRPr="001A54ED" w14:paraId="6DAA841E" w14:textId="77777777" w:rsidTr="00CB6EC5">
        <w:trPr>
          <w:trHeight w:val="639"/>
        </w:trPr>
        <w:tc>
          <w:tcPr>
            <w:tcW w:w="4211" w:type="dxa"/>
          </w:tcPr>
          <w:p w14:paraId="3C4BECA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Nested Networks </w:t>
            </w:r>
          </w:p>
        </w:tc>
        <w:tc>
          <w:tcPr>
            <w:tcW w:w="5106" w:type="dxa"/>
          </w:tcPr>
          <w:p w14:paraId="47C1B78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This refers to a situation where there is more than one level of Embedded Network and therefore nested Distribution Systems between LDNOs (e.g. host DNO</w:t>
            </w:r>
            <w:r w:rsidR="00EF3EB1">
              <w:rPr>
                <w:rFonts w:cs="Wingdings 3"/>
                <w:color w:val="000000"/>
              </w:rPr>
              <w:t xml:space="preserve"> → </w:t>
            </w:r>
            <w:r w:rsidRPr="001A54ED">
              <w:rPr>
                <w:rFonts w:cs="Tahoma"/>
                <w:color w:val="000000"/>
              </w:rPr>
              <w:t>primary nested DNO</w:t>
            </w:r>
            <w:r w:rsidR="00EF3EB1">
              <w:rPr>
                <w:rFonts w:cs="Wingdings 3"/>
                <w:color w:val="000000"/>
              </w:rPr>
              <w:t xml:space="preserve"> → </w:t>
            </w:r>
            <w:r w:rsidRPr="001A54ED">
              <w:rPr>
                <w:rFonts w:cs="Tahoma"/>
                <w:color w:val="000000"/>
              </w:rPr>
              <w:t>secondary nested DNO</w:t>
            </w:r>
            <w:r w:rsidR="00EF3EB1">
              <w:rPr>
                <w:rFonts w:cs="Wingdings 3"/>
                <w:color w:val="000000"/>
              </w:rPr>
              <w:t xml:space="preserve"> → </w:t>
            </w:r>
            <w:r w:rsidRPr="001A54ED">
              <w:rPr>
                <w:rFonts w:cs="Tahoma"/>
                <w:color w:val="000000"/>
              </w:rPr>
              <w:t xml:space="preserve">customer). </w:t>
            </w:r>
          </w:p>
        </w:tc>
      </w:tr>
      <w:tr w:rsidR="001A54ED" w:rsidRPr="001A54ED" w14:paraId="64664B0C" w14:textId="77777777" w:rsidTr="00CB6EC5">
        <w:trPr>
          <w:trHeight w:val="373"/>
        </w:trPr>
        <w:tc>
          <w:tcPr>
            <w:tcW w:w="4211" w:type="dxa"/>
          </w:tcPr>
          <w:p w14:paraId="419B5714"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Ofgem </w:t>
            </w:r>
          </w:p>
        </w:tc>
        <w:tc>
          <w:tcPr>
            <w:tcW w:w="5106" w:type="dxa"/>
          </w:tcPr>
          <w:p w14:paraId="7F686E8E"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Office of Gas and Electricity Markets – Ofgem is governed by GEMA and is responsible for the regulation of the distribution companies. </w:t>
            </w:r>
          </w:p>
        </w:tc>
      </w:tr>
      <w:tr w:rsidR="001A54ED" w:rsidRPr="001A54ED" w14:paraId="59B3B46F" w14:textId="77777777" w:rsidTr="00CB6EC5">
        <w:trPr>
          <w:trHeight w:val="505"/>
        </w:trPr>
        <w:tc>
          <w:tcPr>
            <w:tcW w:w="4211" w:type="dxa"/>
          </w:tcPr>
          <w:p w14:paraId="435A092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Profile Class (PC) </w:t>
            </w:r>
          </w:p>
        </w:tc>
        <w:tc>
          <w:tcPr>
            <w:tcW w:w="5106" w:type="dxa"/>
          </w:tcPr>
          <w:p w14:paraId="701E691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categorisation applied to NHH MPANs and used in Settlement to group Customers with similar consumption patterns to enable the calculation of consumption profiles. </w:t>
            </w:r>
          </w:p>
        </w:tc>
      </w:tr>
      <w:tr w:rsidR="001A54ED" w:rsidRPr="001A54ED" w14:paraId="25947634" w14:textId="77777777" w:rsidTr="00CB6EC5">
        <w:trPr>
          <w:trHeight w:val="372"/>
        </w:trPr>
        <w:tc>
          <w:tcPr>
            <w:tcW w:w="4211" w:type="dxa"/>
          </w:tcPr>
          <w:p w14:paraId="5E1DEEF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Settlement </w:t>
            </w:r>
          </w:p>
        </w:tc>
        <w:tc>
          <w:tcPr>
            <w:tcW w:w="5106" w:type="dxa"/>
          </w:tcPr>
          <w:p w14:paraId="3D66A353"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determination and settlement of amounts payable in respect of charges (including reconciling charges) in accordance with the BSC. </w:t>
            </w:r>
          </w:p>
        </w:tc>
      </w:tr>
      <w:tr w:rsidR="001A54ED" w:rsidRPr="001A54ED" w14:paraId="7547135C" w14:textId="77777777" w:rsidTr="00CB6EC5">
        <w:trPr>
          <w:trHeight w:val="505"/>
        </w:trPr>
        <w:tc>
          <w:tcPr>
            <w:tcW w:w="4211" w:type="dxa"/>
          </w:tcPr>
          <w:p w14:paraId="4B877491"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Settlement Class (SC) </w:t>
            </w:r>
          </w:p>
        </w:tc>
        <w:tc>
          <w:tcPr>
            <w:tcW w:w="5106" w:type="dxa"/>
          </w:tcPr>
          <w:p w14:paraId="268FCA0D"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combination of Profile Class, Line Loss Factor Class, Time Pattern Regime and Standard Settlement Configuration, by Supplier within a GSP group and used for Settlement. </w:t>
            </w:r>
          </w:p>
        </w:tc>
      </w:tr>
    </w:tbl>
    <w:p w14:paraId="42BEAAEE"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27B045B4"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306ECAAE"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25624935"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469F417B"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669FF39B"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21517F0A"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5"/>
        <w:gridCol w:w="5082"/>
      </w:tblGrid>
      <w:tr w:rsidR="001A54ED" w:rsidRPr="001A54ED" w14:paraId="2015C478" w14:textId="77777777" w:rsidTr="00CB6EC5">
        <w:trPr>
          <w:trHeight w:val="107"/>
        </w:trPr>
        <w:tc>
          <w:tcPr>
            <w:tcW w:w="4235" w:type="dxa"/>
          </w:tcPr>
          <w:p w14:paraId="4E83748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Term </w:t>
            </w:r>
          </w:p>
        </w:tc>
        <w:tc>
          <w:tcPr>
            <w:tcW w:w="5082" w:type="dxa"/>
          </w:tcPr>
          <w:p w14:paraId="241A4D5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b/>
                <w:bCs/>
                <w:color w:val="000000"/>
              </w:rPr>
              <w:t xml:space="preserve">Definition </w:t>
            </w:r>
          </w:p>
        </w:tc>
      </w:tr>
      <w:tr w:rsidR="001A54ED" w:rsidRPr="001A54ED" w14:paraId="75655903" w14:textId="77777777" w:rsidTr="00CB6EC5">
        <w:trPr>
          <w:trHeight w:val="240"/>
        </w:trPr>
        <w:tc>
          <w:tcPr>
            <w:tcW w:w="4235" w:type="dxa"/>
          </w:tcPr>
          <w:p w14:paraId="7E1EFC7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Standard Settlement Configuration (SSC) </w:t>
            </w:r>
          </w:p>
        </w:tc>
        <w:tc>
          <w:tcPr>
            <w:tcW w:w="5082" w:type="dxa"/>
          </w:tcPr>
          <w:p w14:paraId="05C86F60"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standard metering configuration relating to a specific combination of Time Pattern Regimes. </w:t>
            </w:r>
          </w:p>
        </w:tc>
      </w:tr>
      <w:tr w:rsidR="001A54ED" w:rsidRPr="001A54ED" w14:paraId="19A84E28" w14:textId="77777777" w:rsidTr="00CB6EC5">
        <w:trPr>
          <w:trHeight w:val="505"/>
        </w:trPr>
        <w:tc>
          <w:tcPr>
            <w:tcW w:w="4235" w:type="dxa"/>
          </w:tcPr>
          <w:p w14:paraId="4C14CF8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Supercustomer </w:t>
            </w:r>
          </w:p>
        </w:tc>
        <w:tc>
          <w:tcPr>
            <w:tcW w:w="5082" w:type="dxa"/>
          </w:tcPr>
          <w:p w14:paraId="556B8A5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method of billing Users for use of system on an aggregated basis, grouping together consumption and standing charges for all similar NHH metered Customers or aggregated HH metered Customers. </w:t>
            </w:r>
          </w:p>
        </w:tc>
      </w:tr>
      <w:tr w:rsidR="001A54ED" w:rsidRPr="001A54ED" w14:paraId="2C69D05D" w14:textId="77777777" w:rsidTr="00CB6EC5">
        <w:trPr>
          <w:trHeight w:val="240"/>
        </w:trPr>
        <w:tc>
          <w:tcPr>
            <w:tcW w:w="4235" w:type="dxa"/>
          </w:tcPr>
          <w:p w14:paraId="68CB20BB"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Supercustomer DUoS Report </w:t>
            </w:r>
          </w:p>
        </w:tc>
        <w:tc>
          <w:tcPr>
            <w:tcW w:w="5082" w:type="dxa"/>
          </w:tcPr>
          <w:p w14:paraId="53B39BB8"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 report of profiled data by Settlement Class providing counts of MPANs and units consumed. </w:t>
            </w:r>
          </w:p>
        </w:tc>
      </w:tr>
      <w:tr w:rsidR="001A54ED" w:rsidRPr="001A54ED" w14:paraId="4262160F" w14:textId="77777777" w:rsidTr="00CB6EC5">
        <w:trPr>
          <w:trHeight w:val="372"/>
        </w:trPr>
        <w:tc>
          <w:tcPr>
            <w:tcW w:w="4235" w:type="dxa"/>
          </w:tcPr>
          <w:p w14:paraId="726B568D"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Supplier </w:t>
            </w:r>
          </w:p>
        </w:tc>
        <w:tc>
          <w:tcPr>
            <w:tcW w:w="5082" w:type="dxa"/>
          </w:tcPr>
          <w:p w14:paraId="1AE4461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An organisation with a supply licence responsible for electricity supplied to and/or exported from a metering point. </w:t>
            </w:r>
          </w:p>
        </w:tc>
      </w:tr>
      <w:tr w:rsidR="001A54ED" w:rsidRPr="001A54ED" w14:paraId="163B072C" w14:textId="77777777" w:rsidTr="00CB6EC5">
        <w:trPr>
          <w:trHeight w:val="239"/>
        </w:trPr>
        <w:tc>
          <w:tcPr>
            <w:tcW w:w="4235" w:type="dxa"/>
          </w:tcPr>
          <w:p w14:paraId="47F50348"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Supplier Volume Allocation (SVA) </w:t>
            </w:r>
          </w:p>
        </w:tc>
        <w:tc>
          <w:tcPr>
            <w:tcW w:w="5082" w:type="dxa"/>
          </w:tcPr>
          <w:p w14:paraId="1D8BC616"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As defined in the BSC. </w:t>
            </w:r>
          </w:p>
        </w:tc>
      </w:tr>
      <w:tr w:rsidR="001A54ED" w:rsidRPr="001A54ED" w14:paraId="1401147F" w14:textId="77777777" w:rsidTr="00CB6EC5">
        <w:trPr>
          <w:trHeight w:val="239"/>
        </w:trPr>
        <w:tc>
          <w:tcPr>
            <w:tcW w:w="4235" w:type="dxa"/>
          </w:tcPr>
          <w:p w14:paraId="718ED9E7"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Time Pattern Regime (TPR) </w:t>
            </w:r>
          </w:p>
        </w:tc>
        <w:tc>
          <w:tcPr>
            <w:tcW w:w="5082" w:type="dxa"/>
          </w:tcPr>
          <w:p w14:paraId="104A7898"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The pattern of switching behaviour through time that one or more meter registers follow. </w:t>
            </w:r>
          </w:p>
        </w:tc>
      </w:tr>
      <w:tr w:rsidR="001A54ED" w:rsidRPr="001A54ED" w14:paraId="20AB2DF2" w14:textId="77777777" w:rsidTr="00CB6EC5">
        <w:trPr>
          <w:trHeight w:val="505"/>
        </w:trPr>
        <w:tc>
          <w:tcPr>
            <w:tcW w:w="4235" w:type="dxa"/>
          </w:tcPr>
          <w:p w14:paraId="087C053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Unmetered Supplies </w:t>
            </w:r>
          </w:p>
        </w:tc>
        <w:tc>
          <w:tcPr>
            <w:tcW w:w="5082" w:type="dxa"/>
          </w:tcPr>
          <w:p w14:paraId="18E19203"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Exit points deemed to be suitable as unmetered supplies as permitted in the Electricity (Unmetered Supply) Regulations 2001 and where operated in ac</w:t>
            </w:r>
            <w:r w:rsidR="00EF3EB1">
              <w:rPr>
                <w:rFonts w:cs="Tahoma"/>
                <w:color w:val="000000"/>
              </w:rPr>
              <w:t>cordance with BSC procedure 520</w:t>
            </w:r>
            <w:r w:rsidR="00EF3EB1">
              <w:rPr>
                <w:rStyle w:val="FootnoteReference"/>
                <w:rFonts w:cs="Tahoma"/>
                <w:color w:val="000000"/>
              </w:rPr>
              <w:footnoteReference w:id="9"/>
            </w:r>
            <w:r w:rsidRPr="001A54ED">
              <w:rPr>
                <w:rFonts w:cs="Tahoma"/>
                <w:color w:val="000000"/>
              </w:rPr>
              <w:t xml:space="preserve">. </w:t>
            </w:r>
          </w:p>
        </w:tc>
      </w:tr>
      <w:tr w:rsidR="001A54ED" w:rsidRPr="001A54ED" w14:paraId="178A7F57" w14:textId="77777777" w:rsidTr="00CB6EC5">
        <w:trPr>
          <w:trHeight w:val="240"/>
        </w:trPr>
        <w:tc>
          <w:tcPr>
            <w:tcW w:w="4235" w:type="dxa"/>
          </w:tcPr>
          <w:p w14:paraId="620E60DF"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Use of System Charges </w:t>
            </w:r>
          </w:p>
        </w:tc>
        <w:tc>
          <w:tcPr>
            <w:tcW w:w="5082" w:type="dxa"/>
          </w:tcPr>
          <w:p w14:paraId="5CA7418C"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Charges which are applicable to those parties which use the Distribution System. </w:t>
            </w:r>
          </w:p>
        </w:tc>
      </w:tr>
      <w:tr w:rsidR="001A54ED" w:rsidRPr="001A54ED" w14:paraId="677F50FF" w14:textId="77777777" w:rsidTr="00CB6EC5">
        <w:trPr>
          <w:trHeight w:val="240"/>
        </w:trPr>
        <w:tc>
          <w:tcPr>
            <w:tcW w:w="4235" w:type="dxa"/>
          </w:tcPr>
          <w:p w14:paraId="3743DA2A"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User </w:t>
            </w:r>
          </w:p>
        </w:tc>
        <w:tc>
          <w:tcPr>
            <w:tcW w:w="5082" w:type="dxa"/>
          </w:tcPr>
          <w:p w14:paraId="41154185" w14:textId="77777777" w:rsidR="001A54ED" w:rsidRPr="001A54ED" w:rsidRDefault="001A54ED" w:rsidP="001A54ED">
            <w:pPr>
              <w:autoSpaceDE w:val="0"/>
              <w:autoSpaceDN w:val="0"/>
              <w:adjustRightInd w:val="0"/>
              <w:spacing w:after="0" w:line="240" w:lineRule="auto"/>
              <w:rPr>
                <w:rFonts w:cs="Tahoma"/>
                <w:color w:val="000000"/>
              </w:rPr>
            </w:pPr>
            <w:r w:rsidRPr="001A54ED">
              <w:rPr>
                <w:rFonts w:cs="Tahoma"/>
                <w:color w:val="000000"/>
              </w:rPr>
              <w:t xml:space="preserve">Someone that has a use of system agreement with the DNO e.g. a supplier, generator or other DNO. </w:t>
            </w:r>
          </w:p>
        </w:tc>
      </w:tr>
    </w:tbl>
    <w:p w14:paraId="1A5343FF"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07643CB2"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2B792ED7"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6306AE18"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1251AD35"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626E7F9A" w14:textId="77777777" w:rsidR="001A54ED" w:rsidRDefault="001A54ED" w:rsidP="008D0F41">
      <w:pPr>
        <w:autoSpaceDE w:val="0"/>
        <w:autoSpaceDN w:val="0"/>
        <w:adjustRightInd w:val="0"/>
        <w:spacing w:after="0" w:line="240" w:lineRule="auto"/>
        <w:jc w:val="center"/>
        <w:rPr>
          <w:rFonts w:ascii="Book Antiqua" w:hAnsi="Book Antiqua"/>
          <w:b/>
          <w:sz w:val="32"/>
          <w:u w:val="single"/>
        </w:rPr>
      </w:pPr>
    </w:p>
    <w:p w14:paraId="44221D5F"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6BCDAAF6"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4C249D52"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33B439AB"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0A619709" w14:textId="77777777" w:rsidR="00550ADD" w:rsidRDefault="00550ADD" w:rsidP="008D0F41">
      <w:pPr>
        <w:autoSpaceDE w:val="0"/>
        <w:autoSpaceDN w:val="0"/>
        <w:adjustRightInd w:val="0"/>
        <w:spacing w:after="0" w:line="240" w:lineRule="auto"/>
        <w:jc w:val="center"/>
        <w:rPr>
          <w:rFonts w:ascii="Book Antiqua" w:hAnsi="Book Antiqua"/>
          <w:b/>
          <w:sz w:val="32"/>
          <w:u w:val="single"/>
        </w:rPr>
      </w:pPr>
    </w:p>
    <w:p w14:paraId="5CEBF5C1" w14:textId="77777777" w:rsidR="00550ADD" w:rsidRDefault="00550ADD" w:rsidP="008D0F41">
      <w:pPr>
        <w:autoSpaceDE w:val="0"/>
        <w:autoSpaceDN w:val="0"/>
        <w:adjustRightInd w:val="0"/>
        <w:spacing w:after="0" w:line="240" w:lineRule="auto"/>
        <w:jc w:val="center"/>
        <w:rPr>
          <w:rFonts w:ascii="Book Antiqua" w:hAnsi="Book Antiqua"/>
          <w:b/>
          <w:sz w:val="32"/>
          <w:u w:val="single"/>
        </w:rPr>
      </w:pPr>
    </w:p>
    <w:p w14:paraId="633FE3DF" w14:textId="77777777" w:rsidR="00550ADD" w:rsidRDefault="00550ADD" w:rsidP="008D0F41">
      <w:pPr>
        <w:autoSpaceDE w:val="0"/>
        <w:autoSpaceDN w:val="0"/>
        <w:adjustRightInd w:val="0"/>
        <w:spacing w:after="0" w:line="240" w:lineRule="auto"/>
        <w:jc w:val="center"/>
        <w:rPr>
          <w:rFonts w:ascii="Book Antiqua" w:hAnsi="Book Antiqua"/>
          <w:b/>
          <w:sz w:val="32"/>
          <w:u w:val="single"/>
        </w:rPr>
      </w:pPr>
    </w:p>
    <w:p w14:paraId="2515DE65" w14:textId="77777777" w:rsidR="00550ADD" w:rsidRDefault="00550ADD" w:rsidP="008D0F41">
      <w:pPr>
        <w:autoSpaceDE w:val="0"/>
        <w:autoSpaceDN w:val="0"/>
        <w:adjustRightInd w:val="0"/>
        <w:spacing w:after="0" w:line="240" w:lineRule="auto"/>
        <w:jc w:val="center"/>
        <w:rPr>
          <w:rFonts w:ascii="Book Antiqua" w:hAnsi="Book Antiqua"/>
          <w:b/>
          <w:sz w:val="32"/>
          <w:u w:val="single"/>
        </w:rPr>
      </w:pPr>
    </w:p>
    <w:p w14:paraId="241517A9" w14:textId="77777777" w:rsidR="00CB6EC5" w:rsidRDefault="00CB6EC5" w:rsidP="008D0F41">
      <w:pPr>
        <w:autoSpaceDE w:val="0"/>
        <w:autoSpaceDN w:val="0"/>
        <w:adjustRightInd w:val="0"/>
        <w:spacing w:after="0" w:line="240" w:lineRule="auto"/>
        <w:jc w:val="center"/>
        <w:rPr>
          <w:rFonts w:ascii="Book Antiqua" w:hAnsi="Book Antiqua"/>
          <w:b/>
          <w:sz w:val="32"/>
          <w:u w:val="single"/>
        </w:rPr>
      </w:pPr>
    </w:p>
    <w:p w14:paraId="0A22BE60" w14:textId="77777777" w:rsidR="001A54ED" w:rsidRPr="001A54ED" w:rsidRDefault="001A54ED" w:rsidP="001A54ED">
      <w:pPr>
        <w:pStyle w:val="Heading1"/>
        <w:rPr>
          <w:u w:val="single"/>
        </w:rPr>
      </w:pPr>
      <w:bookmarkStart w:id="12" w:name="_Toc426117213"/>
      <w:r w:rsidRPr="001A54ED">
        <w:rPr>
          <w:u w:val="single"/>
        </w:rPr>
        <w:lastRenderedPageBreak/>
        <w:t>Appendix 2 - Guidance notes</w:t>
      </w:r>
      <w:r w:rsidR="00EF3EB1">
        <w:rPr>
          <w:rStyle w:val="FootnoteReference"/>
          <w:u w:val="single"/>
        </w:rPr>
        <w:footnoteReference w:id="10"/>
      </w:r>
      <w:bookmarkEnd w:id="12"/>
      <w:r w:rsidRPr="001A54ED">
        <w:rPr>
          <w:sz w:val="14"/>
          <w:u w:val="single"/>
        </w:rPr>
        <w:t xml:space="preserve"> </w:t>
      </w:r>
    </w:p>
    <w:p w14:paraId="71EE1BE6" w14:textId="77777777" w:rsidR="001A54ED" w:rsidRPr="001A54ED" w:rsidRDefault="001A54ED" w:rsidP="001A54ED">
      <w:pPr>
        <w:pStyle w:val="Subtitle"/>
      </w:pPr>
    </w:p>
    <w:p w14:paraId="56B13B24" w14:textId="77777777" w:rsidR="001A54ED" w:rsidRPr="00C944A7" w:rsidRDefault="001A54ED" w:rsidP="001A54ED">
      <w:pPr>
        <w:pStyle w:val="Subtitle"/>
        <w:rPr>
          <w:sz w:val="24"/>
          <w:u w:val="single"/>
        </w:rPr>
      </w:pPr>
      <w:r w:rsidRPr="00C944A7">
        <w:rPr>
          <w:bCs/>
          <w:sz w:val="24"/>
          <w:u w:val="single"/>
        </w:rPr>
        <w:t xml:space="preserve">Background </w:t>
      </w:r>
    </w:p>
    <w:p w14:paraId="6836C631" w14:textId="77777777" w:rsidR="001A54ED" w:rsidRPr="001A54ED" w:rsidRDefault="00F90E77" w:rsidP="001A54ED">
      <w:pPr>
        <w:autoSpaceDE w:val="0"/>
        <w:autoSpaceDN w:val="0"/>
        <w:adjustRightInd w:val="0"/>
        <w:spacing w:after="273" w:line="240" w:lineRule="auto"/>
        <w:rPr>
          <w:rFonts w:cs="Tahoma"/>
          <w:color w:val="000000"/>
        </w:rPr>
      </w:pPr>
      <w:r>
        <w:rPr>
          <w:rFonts w:cs="Tahoma"/>
          <w:color w:val="000000"/>
        </w:rPr>
        <w:t xml:space="preserve">1.1 </w:t>
      </w:r>
      <w:r w:rsidR="001A54ED" w:rsidRPr="001A54ED">
        <w:rPr>
          <w:rFonts w:cs="Tahoma"/>
          <w:color w:val="000000"/>
        </w:rPr>
        <w:t xml:space="preserve">The electricity bill from your Supplier contains an element of charge to cover electricity distribution costs. This distribution charge covers the cost of operating and maintaining a safe and reliable Distribution System that forms the ‘wires’ that transport electricity between the national transmission system and end users such as homes and businesses. Our Distribution System includes overhead lines, underground cables, as well as substations and transformers. </w:t>
      </w:r>
    </w:p>
    <w:p w14:paraId="185E3825" w14:textId="77777777" w:rsidR="001A54ED" w:rsidRPr="001A54ED" w:rsidRDefault="00F90E77" w:rsidP="001A54ED">
      <w:pPr>
        <w:autoSpaceDE w:val="0"/>
        <w:autoSpaceDN w:val="0"/>
        <w:adjustRightInd w:val="0"/>
        <w:spacing w:after="273" w:line="240" w:lineRule="auto"/>
        <w:rPr>
          <w:rFonts w:cs="Tahoma"/>
          <w:color w:val="000000"/>
        </w:rPr>
      </w:pPr>
      <w:r>
        <w:rPr>
          <w:rFonts w:cs="Tahoma"/>
          <w:color w:val="000000"/>
        </w:rPr>
        <w:t xml:space="preserve">1.2. </w:t>
      </w:r>
      <w:r w:rsidR="001A54ED" w:rsidRPr="001A54ED">
        <w:rPr>
          <w:rFonts w:cs="Tahoma"/>
          <w:color w:val="000000"/>
        </w:rPr>
        <w:t xml:space="preserve">In most cases, your Supplier is invoiced for the distribution charge and this is normally part of your total bill. In some cases, for example business users, the supplier may pass through the distribution charge as an identifiable line item on the electricity bill. </w:t>
      </w:r>
    </w:p>
    <w:p w14:paraId="719C9DF5" w14:textId="77777777" w:rsidR="001A54ED" w:rsidRPr="001A54ED" w:rsidRDefault="00F90E77" w:rsidP="001A54ED">
      <w:pPr>
        <w:autoSpaceDE w:val="0"/>
        <w:autoSpaceDN w:val="0"/>
        <w:adjustRightInd w:val="0"/>
        <w:spacing w:after="273" w:line="240" w:lineRule="auto"/>
        <w:rPr>
          <w:rFonts w:cs="Tahoma"/>
          <w:color w:val="000000"/>
        </w:rPr>
      </w:pPr>
      <w:r>
        <w:rPr>
          <w:rFonts w:cs="Tahoma"/>
          <w:color w:val="000000"/>
        </w:rPr>
        <w:t xml:space="preserve">1.3. </w:t>
      </w:r>
      <w:r w:rsidR="001A54ED" w:rsidRPr="001A54ED">
        <w:rPr>
          <w:rFonts w:cs="Tahoma"/>
          <w:color w:val="000000"/>
        </w:rPr>
        <w:t xml:space="preserve">Where electricity is generated at a property your Supplier may receive a credit for energy that is exported on to the Distribution System. These credits are intended to reflect that the exported generation may reduce the need for traditional demand led reinforcement of the Distribution System. </w:t>
      </w:r>
    </w:p>
    <w:p w14:paraId="2064BAE3" w14:textId="77777777" w:rsidR="001A54ED" w:rsidRPr="001A54ED" w:rsidRDefault="00F90E77" w:rsidP="001A54ED">
      <w:pPr>
        <w:autoSpaceDE w:val="0"/>
        <w:autoSpaceDN w:val="0"/>
        <w:adjustRightInd w:val="0"/>
        <w:spacing w:after="0" w:line="240" w:lineRule="auto"/>
        <w:rPr>
          <w:rFonts w:cs="Tahoma"/>
          <w:color w:val="000000"/>
        </w:rPr>
      </w:pPr>
      <w:r>
        <w:rPr>
          <w:rFonts w:cs="Tahoma"/>
          <w:color w:val="000000"/>
        </w:rPr>
        <w:t xml:space="preserve">1.4. </w:t>
      </w:r>
      <w:r w:rsidR="001A54ED" w:rsidRPr="001A54ED">
        <w:rPr>
          <w:rFonts w:cs="Tahoma"/>
          <w:color w:val="000000"/>
        </w:rPr>
        <w:t xml:space="preserve">Understanding your distribution charges could help you reduce your costs and increase your credits. This is achieved by understanding the components of the charge to help you identify whether there may be opportunities to change the way you use the Distribution System. </w:t>
      </w:r>
    </w:p>
    <w:p w14:paraId="53626C1B" w14:textId="77777777" w:rsidR="001A54ED" w:rsidRPr="001A54ED" w:rsidRDefault="001A54ED" w:rsidP="001A54ED">
      <w:pPr>
        <w:pStyle w:val="Subtitle"/>
      </w:pPr>
    </w:p>
    <w:p w14:paraId="01DA3941" w14:textId="77777777" w:rsidR="001A54ED" w:rsidRPr="00C944A7" w:rsidRDefault="001A54ED" w:rsidP="001A54ED">
      <w:pPr>
        <w:pStyle w:val="Subtitle"/>
        <w:rPr>
          <w:sz w:val="24"/>
          <w:u w:val="single"/>
        </w:rPr>
      </w:pPr>
      <w:r w:rsidRPr="00C944A7">
        <w:rPr>
          <w:bCs/>
          <w:sz w:val="24"/>
          <w:u w:val="single"/>
        </w:rPr>
        <w:t xml:space="preserve">Meter </w:t>
      </w:r>
      <w:r w:rsidR="00B742F7">
        <w:rPr>
          <w:bCs/>
          <w:sz w:val="24"/>
          <w:u w:val="single"/>
        </w:rPr>
        <w:t>P</w:t>
      </w:r>
      <w:r w:rsidRPr="00C944A7">
        <w:rPr>
          <w:bCs/>
          <w:sz w:val="24"/>
          <w:u w:val="single"/>
        </w:rPr>
        <w:t xml:space="preserve">oint </w:t>
      </w:r>
      <w:r w:rsidR="00B742F7">
        <w:rPr>
          <w:bCs/>
          <w:sz w:val="24"/>
          <w:u w:val="single"/>
        </w:rPr>
        <w:t>A</w:t>
      </w:r>
      <w:r w:rsidRPr="00C944A7">
        <w:rPr>
          <w:bCs/>
          <w:sz w:val="24"/>
          <w:u w:val="single"/>
        </w:rPr>
        <w:t xml:space="preserve">dministration </w:t>
      </w:r>
    </w:p>
    <w:p w14:paraId="2BD3263E" w14:textId="77777777" w:rsidR="001A54ED" w:rsidRPr="001A54ED" w:rsidRDefault="00F90E77" w:rsidP="001A54ED">
      <w:pPr>
        <w:autoSpaceDE w:val="0"/>
        <w:autoSpaceDN w:val="0"/>
        <w:adjustRightInd w:val="0"/>
        <w:spacing w:after="274" w:line="240" w:lineRule="auto"/>
        <w:rPr>
          <w:rFonts w:cs="Tahoma"/>
          <w:color w:val="000000"/>
        </w:rPr>
      </w:pPr>
      <w:r>
        <w:rPr>
          <w:rFonts w:cs="Tahoma"/>
          <w:color w:val="000000"/>
        </w:rPr>
        <w:t xml:space="preserve">1.5. </w:t>
      </w:r>
      <w:r w:rsidR="001A54ED" w:rsidRPr="001A54ED">
        <w:rPr>
          <w:rFonts w:cs="Tahoma"/>
          <w:color w:val="000000"/>
        </w:rPr>
        <w:t xml:space="preserve">We are responsible for managing the electricity supply points that are connected to our Distribution System. Typically every supply point is identified by a Meter Point Administration Number (MPAN). A few supply points may have more than one MPAN depending on the metering configuration (e.g. a school which may have an MPAN for the main supply and a MPAN for catering). </w:t>
      </w:r>
    </w:p>
    <w:p w14:paraId="5E6ED1C5" w14:textId="77777777" w:rsidR="001A54ED" w:rsidRPr="001A54ED" w:rsidRDefault="00F90E77" w:rsidP="001A54ED">
      <w:pPr>
        <w:autoSpaceDE w:val="0"/>
        <w:autoSpaceDN w:val="0"/>
        <w:adjustRightInd w:val="0"/>
        <w:spacing w:after="0" w:line="240" w:lineRule="auto"/>
        <w:rPr>
          <w:rFonts w:cs="Tahoma"/>
          <w:color w:val="000000"/>
        </w:rPr>
      </w:pPr>
      <w:r>
        <w:rPr>
          <w:rFonts w:cs="Tahoma"/>
          <w:color w:val="000000"/>
        </w:rPr>
        <w:t xml:space="preserve">1.6. </w:t>
      </w:r>
      <w:r w:rsidR="001A54ED" w:rsidRPr="001A54ED">
        <w:rPr>
          <w:rFonts w:cs="Tahoma"/>
          <w:color w:val="000000"/>
        </w:rPr>
        <w:t xml:space="preserve">The full MPAN is a 21 digit number, preceded by an ‘S’. The MPAN applicable to a supply point is found on the electricity bill from your Supplier. This number enables you to establish who your electricity distributor is, details of the characteristics of the supply and importantly the distribution charges that are applicable to your premise. </w:t>
      </w:r>
    </w:p>
    <w:p w14:paraId="5C725AB7" w14:textId="77777777" w:rsidR="001A54ED" w:rsidRPr="001A54ED" w:rsidRDefault="001A54ED" w:rsidP="001A54ED">
      <w:pPr>
        <w:autoSpaceDE w:val="0"/>
        <w:autoSpaceDN w:val="0"/>
        <w:adjustRightInd w:val="0"/>
        <w:spacing w:after="0" w:line="240" w:lineRule="auto"/>
        <w:rPr>
          <w:rFonts w:cs="Tahoma"/>
          <w:color w:val="000000"/>
        </w:rPr>
      </w:pPr>
    </w:p>
    <w:p w14:paraId="2A0F0AC1" w14:textId="77777777" w:rsidR="001A54ED" w:rsidRPr="001A54ED" w:rsidRDefault="00F90E77" w:rsidP="001A54ED">
      <w:pPr>
        <w:autoSpaceDE w:val="0"/>
        <w:autoSpaceDN w:val="0"/>
        <w:adjustRightInd w:val="0"/>
        <w:spacing w:after="273" w:line="240" w:lineRule="auto"/>
        <w:rPr>
          <w:rFonts w:cs="Tahoma"/>
        </w:rPr>
      </w:pPr>
      <w:r>
        <w:rPr>
          <w:rFonts w:cs="Tahoma"/>
        </w:rPr>
        <w:t xml:space="preserve">1.7. </w:t>
      </w:r>
      <w:r w:rsidR="001A54ED" w:rsidRPr="001A54ED">
        <w:rPr>
          <w:rFonts w:cs="Tahoma"/>
        </w:rPr>
        <w:t xml:space="preserve">The 21-digit number is normally presented in two sections as shown in the following diagram. The top section is supplementary data which gives information about the characteristics of supply, while the bottom ‘core’ is the unique identifier. </w:t>
      </w:r>
    </w:p>
    <w:p w14:paraId="1E1C53A6" w14:textId="77777777" w:rsidR="003B293A" w:rsidRDefault="003B293A" w:rsidP="001A54ED">
      <w:pPr>
        <w:autoSpaceDE w:val="0"/>
        <w:autoSpaceDN w:val="0"/>
        <w:adjustRightInd w:val="0"/>
        <w:spacing w:after="0" w:line="240" w:lineRule="auto"/>
        <w:rPr>
          <w:rFonts w:cs="Tahoma"/>
          <w:u w:val="single"/>
        </w:rPr>
      </w:pPr>
    </w:p>
    <w:p w14:paraId="3FC1D05C" w14:textId="77777777" w:rsidR="003B293A" w:rsidRDefault="003B293A" w:rsidP="001A54ED">
      <w:pPr>
        <w:autoSpaceDE w:val="0"/>
        <w:autoSpaceDN w:val="0"/>
        <w:adjustRightInd w:val="0"/>
        <w:spacing w:after="0" w:line="240" w:lineRule="auto"/>
        <w:rPr>
          <w:rFonts w:cs="Tahoma"/>
          <w:u w:val="single"/>
        </w:rPr>
      </w:pPr>
    </w:p>
    <w:p w14:paraId="09633716" w14:textId="77777777" w:rsidR="003B293A" w:rsidRDefault="003B293A" w:rsidP="001A54ED">
      <w:pPr>
        <w:autoSpaceDE w:val="0"/>
        <w:autoSpaceDN w:val="0"/>
        <w:adjustRightInd w:val="0"/>
        <w:spacing w:after="0" w:line="240" w:lineRule="auto"/>
        <w:rPr>
          <w:rFonts w:cs="Tahoma"/>
          <w:u w:val="single"/>
        </w:rPr>
      </w:pPr>
    </w:p>
    <w:p w14:paraId="3E44FC6B" w14:textId="77777777" w:rsidR="003B293A" w:rsidRDefault="003B293A" w:rsidP="001A54ED">
      <w:pPr>
        <w:autoSpaceDE w:val="0"/>
        <w:autoSpaceDN w:val="0"/>
        <w:adjustRightInd w:val="0"/>
        <w:spacing w:after="0" w:line="240" w:lineRule="auto"/>
        <w:rPr>
          <w:rFonts w:cs="Tahoma"/>
          <w:u w:val="single"/>
        </w:rPr>
      </w:pPr>
    </w:p>
    <w:p w14:paraId="77945BE6" w14:textId="77777777" w:rsidR="003B293A" w:rsidRDefault="003B293A" w:rsidP="001A54ED">
      <w:pPr>
        <w:autoSpaceDE w:val="0"/>
        <w:autoSpaceDN w:val="0"/>
        <w:adjustRightInd w:val="0"/>
        <w:spacing w:after="0" w:line="240" w:lineRule="auto"/>
        <w:rPr>
          <w:rFonts w:cs="Tahoma"/>
          <w:u w:val="single"/>
        </w:rPr>
      </w:pPr>
    </w:p>
    <w:p w14:paraId="11968E41" w14:textId="77777777" w:rsidR="003B293A" w:rsidRDefault="003B293A" w:rsidP="001A54ED">
      <w:pPr>
        <w:autoSpaceDE w:val="0"/>
        <w:autoSpaceDN w:val="0"/>
        <w:adjustRightInd w:val="0"/>
        <w:spacing w:after="0" w:line="240" w:lineRule="auto"/>
        <w:rPr>
          <w:rFonts w:cs="Tahoma"/>
          <w:u w:val="single"/>
        </w:rPr>
      </w:pPr>
    </w:p>
    <w:p w14:paraId="57DC054A" w14:textId="77777777" w:rsidR="003B293A" w:rsidRDefault="003B293A" w:rsidP="001A54ED">
      <w:pPr>
        <w:autoSpaceDE w:val="0"/>
        <w:autoSpaceDN w:val="0"/>
        <w:adjustRightInd w:val="0"/>
        <w:spacing w:after="0" w:line="240" w:lineRule="auto"/>
        <w:rPr>
          <w:rFonts w:cs="Tahoma"/>
          <w:u w:val="single"/>
        </w:rPr>
      </w:pPr>
    </w:p>
    <w:p w14:paraId="2EC3D222" w14:textId="77777777" w:rsidR="003B293A" w:rsidRDefault="003B293A" w:rsidP="001A54ED">
      <w:pPr>
        <w:autoSpaceDE w:val="0"/>
        <w:autoSpaceDN w:val="0"/>
        <w:adjustRightInd w:val="0"/>
        <w:spacing w:after="0" w:line="240" w:lineRule="auto"/>
        <w:rPr>
          <w:rFonts w:cs="Tahoma"/>
          <w:u w:val="single"/>
        </w:rPr>
      </w:pPr>
    </w:p>
    <w:p w14:paraId="29612B8F" w14:textId="77777777" w:rsidR="003B293A" w:rsidRDefault="003B293A" w:rsidP="001A54ED">
      <w:pPr>
        <w:autoSpaceDE w:val="0"/>
        <w:autoSpaceDN w:val="0"/>
        <w:adjustRightInd w:val="0"/>
        <w:spacing w:after="0" w:line="240" w:lineRule="auto"/>
        <w:rPr>
          <w:rFonts w:cs="Tahoma"/>
          <w:u w:val="single"/>
        </w:rPr>
      </w:pPr>
    </w:p>
    <w:p w14:paraId="0FD0D230" w14:textId="77777777" w:rsidR="003B293A" w:rsidRDefault="003B293A" w:rsidP="001A54ED">
      <w:pPr>
        <w:autoSpaceDE w:val="0"/>
        <w:autoSpaceDN w:val="0"/>
        <w:adjustRightInd w:val="0"/>
        <w:spacing w:after="0" w:line="240" w:lineRule="auto"/>
        <w:rPr>
          <w:rFonts w:cs="Tahoma"/>
          <w:u w:val="single"/>
        </w:rPr>
      </w:pPr>
    </w:p>
    <w:p w14:paraId="591C289E" w14:textId="77777777" w:rsidR="003B293A" w:rsidRDefault="003B293A" w:rsidP="001A54ED">
      <w:pPr>
        <w:autoSpaceDE w:val="0"/>
        <w:autoSpaceDN w:val="0"/>
        <w:adjustRightInd w:val="0"/>
        <w:spacing w:after="0" w:line="240" w:lineRule="auto"/>
        <w:rPr>
          <w:rFonts w:cs="Tahoma"/>
          <w:u w:val="single"/>
        </w:rPr>
      </w:pPr>
    </w:p>
    <w:p w14:paraId="284F238B" w14:textId="77777777" w:rsidR="003B293A" w:rsidRDefault="003B293A" w:rsidP="001A54ED">
      <w:pPr>
        <w:autoSpaceDE w:val="0"/>
        <w:autoSpaceDN w:val="0"/>
        <w:adjustRightInd w:val="0"/>
        <w:spacing w:after="0" w:line="240" w:lineRule="auto"/>
        <w:rPr>
          <w:rFonts w:cs="Tahoma"/>
          <w:u w:val="single"/>
        </w:rPr>
      </w:pPr>
    </w:p>
    <w:p w14:paraId="1BBCE2AD" w14:textId="77777777" w:rsidR="009715CB" w:rsidRDefault="009715CB" w:rsidP="001A54ED">
      <w:pPr>
        <w:autoSpaceDE w:val="0"/>
        <w:autoSpaceDN w:val="0"/>
        <w:adjustRightInd w:val="0"/>
        <w:spacing w:after="0" w:line="240" w:lineRule="auto"/>
        <w:rPr>
          <w:rFonts w:cs="Tahoma"/>
          <w:u w:val="single"/>
        </w:rPr>
      </w:pPr>
    </w:p>
    <w:p w14:paraId="7F1365C8" w14:textId="77777777" w:rsidR="001A54ED" w:rsidRPr="00C944A7" w:rsidRDefault="001A54ED" w:rsidP="001A54ED">
      <w:pPr>
        <w:autoSpaceDE w:val="0"/>
        <w:autoSpaceDN w:val="0"/>
        <w:adjustRightInd w:val="0"/>
        <w:spacing w:after="0" w:line="240" w:lineRule="auto"/>
        <w:rPr>
          <w:rFonts w:cs="Tahoma"/>
          <w:u w:val="single"/>
        </w:rPr>
      </w:pPr>
      <w:r w:rsidRPr="00C944A7">
        <w:rPr>
          <w:rFonts w:cs="Tahoma"/>
          <w:u w:val="single"/>
        </w:rPr>
        <w:t xml:space="preserve">Full MPAN diagram </w:t>
      </w:r>
    </w:p>
    <w:p w14:paraId="2634A524" w14:textId="77777777" w:rsidR="001A54ED" w:rsidRDefault="003B293A" w:rsidP="008D0F41">
      <w:pPr>
        <w:autoSpaceDE w:val="0"/>
        <w:autoSpaceDN w:val="0"/>
        <w:adjustRightInd w:val="0"/>
        <w:spacing w:after="0" w:line="240" w:lineRule="auto"/>
        <w:jc w:val="center"/>
        <w:rPr>
          <w:rFonts w:ascii="Book Antiqua" w:hAnsi="Book Antiqua"/>
          <w:b/>
          <w:sz w:val="32"/>
          <w:u w:val="single"/>
        </w:rPr>
      </w:pPr>
      <w:r w:rsidRPr="003B293A">
        <w:rPr>
          <w:rFonts w:ascii="Book Antiqua" w:hAnsi="Book Antiqua"/>
          <w:b/>
          <w:noProof/>
          <w:sz w:val="32"/>
          <w:lang w:eastAsia="en-GB"/>
        </w:rPr>
        <w:drawing>
          <wp:inline distT="0" distB="0" distL="0" distR="0" wp14:anchorId="48EF4B5B" wp14:editId="1F2AC198">
            <wp:extent cx="6267450" cy="310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7450" cy="3105150"/>
                    </a:xfrm>
                    <a:prstGeom prst="rect">
                      <a:avLst/>
                    </a:prstGeom>
                    <a:noFill/>
                    <a:ln>
                      <a:noFill/>
                    </a:ln>
                  </pic:spPr>
                </pic:pic>
              </a:graphicData>
            </a:graphic>
          </wp:inline>
        </w:drawing>
      </w:r>
    </w:p>
    <w:p w14:paraId="4CB016BE" w14:textId="77777777" w:rsidR="001A54ED" w:rsidRPr="001A54ED" w:rsidRDefault="001A54ED" w:rsidP="001A54ED">
      <w:pPr>
        <w:autoSpaceDE w:val="0"/>
        <w:autoSpaceDN w:val="0"/>
        <w:adjustRightInd w:val="0"/>
        <w:spacing w:after="0" w:line="240" w:lineRule="auto"/>
        <w:rPr>
          <w:rFonts w:ascii="Tahoma" w:hAnsi="Tahoma" w:cs="Tahoma"/>
          <w:color w:val="000000"/>
          <w:sz w:val="24"/>
          <w:szCs w:val="24"/>
        </w:rPr>
      </w:pPr>
    </w:p>
    <w:p w14:paraId="1A654780" w14:textId="77777777" w:rsidR="001A54ED" w:rsidRPr="001A54ED" w:rsidRDefault="00F90E77" w:rsidP="001A54ED">
      <w:pPr>
        <w:pStyle w:val="Default"/>
        <w:rPr>
          <w:rFonts w:asciiTheme="minorHAnsi" w:hAnsiTheme="minorHAnsi"/>
          <w:sz w:val="22"/>
          <w:szCs w:val="22"/>
        </w:rPr>
      </w:pPr>
      <w:r>
        <w:rPr>
          <w:rFonts w:asciiTheme="minorHAnsi" w:hAnsiTheme="minorHAnsi"/>
          <w:sz w:val="22"/>
          <w:szCs w:val="22"/>
        </w:rPr>
        <w:t xml:space="preserve">1.8. </w:t>
      </w:r>
      <w:r w:rsidR="001A54ED" w:rsidRPr="001A54ED">
        <w:rPr>
          <w:rFonts w:asciiTheme="minorHAnsi" w:hAnsiTheme="minorHAnsi"/>
          <w:sz w:val="22"/>
          <w:szCs w:val="22"/>
        </w:rPr>
        <w:t xml:space="preserve">Generally, you will only need to know the Distributor ID and line loss factor class to identify the distribution charges for your premise. However, there are some premises where charges are specific to that site. In these instances the charges are identified by the core MPAN. The Distributor ID for </w:t>
      </w:r>
      <w:r w:rsidR="00CB6EC5">
        <w:rPr>
          <w:rFonts w:asciiTheme="minorHAnsi" w:hAnsiTheme="minorHAnsi"/>
          <w:sz w:val="22"/>
          <w:szCs w:val="22"/>
        </w:rPr>
        <w:t>HARL is 29</w:t>
      </w:r>
      <w:r w:rsidR="001A54ED" w:rsidRPr="001A54ED">
        <w:rPr>
          <w:rFonts w:asciiTheme="minorHAnsi" w:hAnsiTheme="minorHAnsi"/>
          <w:sz w:val="22"/>
          <w:szCs w:val="22"/>
        </w:rPr>
        <w:t xml:space="preserve">. Other Distributor IDs can be referenced in the glossary. </w:t>
      </w:r>
    </w:p>
    <w:p w14:paraId="3A74B020" w14:textId="77777777" w:rsidR="001A54ED" w:rsidRPr="001A54ED" w:rsidRDefault="001A54ED" w:rsidP="001A54ED">
      <w:pPr>
        <w:autoSpaceDE w:val="0"/>
        <w:autoSpaceDN w:val="0"/>
        <w:adjustRightInd w:val="0"/>
        <w:spacing w:after="0" w:line="240" w:lineRule="auto"/>
        <w:rPr>
          <w:b/>
          <w:u w:val="single"/>
        </w:rPr>
      </w:pPr>
    </w:p>
    <w:p w14:paraId="29957F10" w14:textId="77777777" w:rsidR="001A54ED" w:rsidRPr="001A54ED" w:rsidRDefault="001A54ED" w:rsidP="001A54ED">
      <w:pPr>
        <w:pStyle w:val="Default"/>
        <w:rPr>
          <w:rFonts w:asciiTheme="minorHAnsi" w:hAnsiTheme="minorHAnsi"/>
          <w:sz w:val="22"/>
          <w:szCs w:val="22"/>
        </w:rPr>
      </w:pPr>
    </w:p>
    <w:p w14:paraId="67384E92" w14:textId="77777777" w:rsidR="001A54ED" w:rsidRPr="001A54ED" w:rsidRDefault="00F90E77" w:rsidP="001A54ED">
      <w:pPr>
        <w:pStyle w:val="Default"/>
        <w:spacing w:after="276"/>
        <w:rPr>
          <w:rFonts w:asciiTheme="minorHAnsi" w:hAnsiTheme="minorHAnsi"/>
          <w:sz w:val="22"/>
          <w:szCs w:val="22"/>
        </w:rPr>
      </w:pPr>
      <w:r>
        <w:rPr>
          <w:rFonts w:asciiTheme="minorHAnsi" w:hAnsiTheme="minorHAnsi"/>
          <w:sz w:val="22"/>
          <w:szCs w:val="22"/>
        </w:rPr>
        <w:t xml:space="preserve">1.9. </w:t>
      </w:r>
      <w:r w:rsidR="001A54ED" w:rsidRPr="001A54ED">
        <w:rPr>
          <w:rFonts w:asciiTheme="minorHAnsi" w:hAnsiTheme="minorHAnsi"/>
          <w:sz w:val="22"/>
          <w:szCs w:val="22"/>
        </w:rPr>
        <w:t xml:space="preserve">Additionally it can be useful to understand the profile class provided in the supplementary data. The profile class will be a number between 00 and 08. The following list provides details of the allocation of profile classes to types of customers: </w:t>
      </w:r>
    </w:p>
    <w:p w14:paraId="762B14FF"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‘01’ – Domestic customers with unrestricted supply </w:t>
      </w:r>
    </w:p>
    <w:p w14:paraId="6DD1724B"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‘02’ – Domestic customers with restricted load, for example off-peak heating </w:t>
      </w:r>
    </w:p>
    <w:p w14:paraId="171AAA99"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‘03’ – Non-domestic customers with unrestricted supply </w:t>
      </w:r>
    </w:p>
    <w:p w14:paraId="750F7317"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‘04’ – Non-domestic customers with restricted load, for example off-peak heating </w:t>
      </w:r>
    </w:p>
    <w:p w14:paraId="6CBF2C71"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‘05’ – Non-domestic maximum demand customers with a Load Factor of less than 20% </w:t>
      </w:r>
    </w:p>
    <w:p w14:paraId="7D18EB40"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‘06’ – Non-domestic maximum demand customers with a Load Factor between 20% and 30% </w:t>
      </w:r>
    </w:p>
    <w:p w14:paraId="4005EE5C"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‘07’ – Non-domestic maximum demand customers with a Load Factor between 30% and 40% </w:t>
      </w:r>
    </w:p>
    <w:p w14:paraId="3E961FDB" w14:textId="77777777" w:rsidR="001A54ED" w:rsidRPr="001A54ED" w:rsidRDefault="001A54ED" w:rsidP="001A54ED">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‘08’ – Non-domestic maximum demand customers with a Load Factor over 40% or non-half-hourly metered generation customers </w:t>
      </w:r>
    </w:p>
    <w:p w14:paraId="2050E5A2" w14:textId="77777777" w:rsidR="001A54ED" w:rsidRPr="001A54ED" w:rsidRDefault="001A54ED" w:rsidP="00F90E77">
      <w:pPr>
        <w:pStyle w:val="Default"/>
        <w:numPr>
          <w:ilvl w:val="0"/>
          <w:numId w:val="8"/>
        </w:numPr>
        <w:rPr>
          <w:rFonts w:asciiTheme="minorHAnsi" w:hAnsiTheme="minorHAnsi"/>
          <w:sz w:val="22"/>
          <w:szCs w:val="22"/>
        </w:rPr>
      </w:pPr>
      <w:r w:rsidRPr="001A54ED">
        <w:rPr>
          <w:rFonts w:asciiTheme="minorHAnsi" w:hAnsiTheme="minorHAnsi"/>
          <w:sz w:val="22"/>
          <w:szCs w:val="22"/>
        </w:rPr>
        <w:t xml:space="preserve">‘00’ – Half-hourly metered demand and generation customers </w:t>
      </w:r>
    </w:p>
    <w:p w14:paraId="5A863FDB" w14:textId="77777777" w:rsidR="001A54ED" w:rsidRDefault="001A54ED" w:rsidP="001A54ED">
      <w:pPr>
        <w:pStyle w:val="Default"/>
        <w:rPr>
          <w:rFonts w:asciiTheme="minorHAnsi" w:hAnsiTheme="minorHAnsi"/>
          <w:sz w:val="22"/>
          <w:szCs w:val="22"/>
        </w:rPr>
      </w:pPr>
    </w:p>
    <w:p w14:paraId="6B4CA3C0" w14:textId="77777777" w:rsidR="001A54ED" w:rsidRPr="001A54ED" w:rsidRDefault="00F90E77" w:rsidP="001A54ED">
      <w:pPr>
        <w:pStyle w:val="Default"/>
        <w:rPr>
          <w:rFonts w:asciiTheme="minorHAnsi" w:hAnsiTheme="minorHAnsi"/>
          <w:sz w:val="22"/>
          <w:szCs w:val="22"/>
        </w:rPr>
      </w:pPr>
      <w:r>
        <w:rPr>
          <w:rFonts w:asciiTheme="minorHAnsi" w:hAnsiTheme="minorHAnsi"/>
          <w:sz w:val="22"/>
          <w:szCs w:val="22"/>
        </w:rPr>
        <w:t xml:space="preserve">1.10. </w:t>
      </w:r>
      <w:r w:rsidR="001A54ED" w:rsidRPr="001A54ED">
        <w:rPr>
          <w:rFonts w:asciiTheme="minorHAnsi" w:hAnsiTheme="minorHAnsi"/>
          <w:sz w:val="22"/>
          <w:szCs w:val="22"/>
        </w:rPr>
        <w:t xml:space="preserve">Unmetered Supplies will be allocated to profile class 01, 08 and 00 depending on the type of load or the measurement method of the load. </w:t>
      </w:r>
    </w:p>
    <w:p w14:paraId="7632EBDE" w14:textId="77777777" w:rsidR="001A54ED" w:rsidRPr="001A54ED" w:rsidRDefault="001A54ED" w:rsidP="001A54ED">
      <w:pPr>
        <w:pStyle w:val="Default"/>
        <w:rPr>
          <w:rFonts w:asciiTheme="minorHAnsi" w:hAnsiTheme="minorHAnsi"/>
          <w:sz w:val="22"/>
          <w:szCs w:val="22"/>
        </w:rPr>
      </w:pPr>
    </w:p>
    <w:p w14:paraId="1A8F8BE0" w14:textId="77777777" w:rsidR="001A54ED" w:rsidRPr="001A54ED" w:rsidRDefault="00F90E77" w:rsidP="001A54ED">
      <w:pPr>
        <w:pStyle w:val="Default"/>
        <w:rPr>
          <w:rFonts w:asciiTheme="minorHAnsi" w:hAnsiTheme="minorHAnsi"/>
          <w:sz w:val="22"/>
          <w:szCs w:val="22"/>
        </w:rPr>
      </w:pPr>
      <w:r>
        <w:rPr>
          <w:rFonts w:asciiTheme="minorHAnsi" w:hAnsiTheme="minorHAnsi"/>
          <w:sz w:val="22"/>
          <w:szCs w:val="22"/>
        </w:rPr>
        <w:t xml:space="preserve">1.11 </w:t>
      </w:r>
      <w:r w:rsidR="001A54ED" w:rsidRPr="001A54ED">
        <w:rPr>
          <w:rFonts w:asciiTheme="minorHAnsi" w:hAnsiTheme="minorHAnsi"/>
          <w:sz w:val="22"/>
          <w:szCs w:val="22"/>
        </w:rPr>
        <w:t xml:space="preserve">The allocation of the profile class will affect your charges. If you feel that you have been allocated the wrong profile class, please contact your Supplier as they are responsible for this. </w:t>
      </w:r>
    </w:p>
    <w:p w14:paraId="0FF5DD54" w14:textId="77777777" w:rsidR="001A54ED" w:rsidRPr="001A54ED" w:rsidRDefault="001A54ED" w:rsidP="001A54ED">
      <w:pPr>
        <w:pStyle w:val="Default"/>
        <w:rPr>
          <w:rFonts w:asciiTheme="minorHAnsi" w:hAnsiTheme="minorHAnsi"/>
          <w:sz w:val="22"/>
          <w:szCs w:val="22"/>
        </w:rPr>
      </w:pPr>
    </w:p>
    <w:p w14:paraId="6638A7E5" w14:textId="77777777" w:rsidR="00C944A7" w:rsidRDefault="00C944A7" w:rsidP="00CB6EC5">
      <w:pPr>
        <w:pStyle w:val="Subtitle"/>
        <w:rPr>
          <w:sz w:val="24"/>
          <w:u w:val="single"/>
        </w:rPr>
      </w:pPr>
    </w:p>
    <w:p w14:paraId="268DE7DE" w14:textId="77777777" w:rsidR="003B293A" w:rsidRPr="003B293A" w:rsidRDefault="003B293A" w:rsidP="003B293A"/>
    <w:p w14:paraId="2D04E3CD" w14:textId="77777777" w:rsidR="001A54ED" w:rsidRPr="00C944A7" w:rsidRDefault="001A54ED" w:rsidP="00CB6EC5">
      <w:pPr>
        <w:pStyle w:val="Subtitle"/>
        <w:rPr>
          <w:sz w:val="24"/>
          <w:u w:val="single"/>
        </w:rPr>
      </w:pPr>
      <w:r w:rsidRPr="00C944A7">
        <w:rPr>
          <w:sz w:val="24"/>
          <w:u w:val="single"/>
        </w:rPr>
        <w:lastRenderedPageBreak/>
        <w:t xml:space="preserve">Your </w:t>
      </w:r>
      <w:r w:rsidR="00B742F7">
        <w:rPr>
          <w:sz w:val="24"/>
          <w:u w:val="single"/>
        </w:rPr>
        <w:t>C</w:t>
      </w:r>
      <w:r w:rsidRPr="00C944A7">
        <w:rPr>
          <w:sz w:val="24"/>
          <w:u w:val="single"/>
        </w:rPr>
        <w:t xml:space="preserve">harges </w:t>
      </w:r>
    </w:p>
    <w:p w14:paraId="2FA3F322" w14:textId="77777777" w:rsidR="001A54ED" w:rsidRDefault="00F90E77" w:rsidP="001A54ED">
      <w:pPr>
        <w:pStyle w:val="Default"/>
        <w:spacing w:after="274"/>
        <w:rPr>
          <w:rFonts w:asciiTheme="minorHAnsi" w:hAnsiTheme="minorHAnsi"/>
          <w:sz w:val="22"/>
          <w:szCs w:val="22"/>
        </w:rPr>
      </w:pPr>
      <w:r>
        <w:rPr>
          <w:rFonts w:asciiTheme="minorHAnsi" w:hAnsiTheme="minorHAnsi"/>
          <w:sz w:val="22"/>
          <w:szCs w:val="22"/>
        </w:rPr>
        <w:t xml:space="preserve">1.12. </w:t>
      </w:r>
      <w:r w:rsidR="001A54ED" w:rsidRPr="001A54ED">
        <w:rPr>
          <w:rFonts w:asciiTheme="minorHAnsi" w:hAnsiTheme="minorHAnsi"/>
          <w:sz w:val="22"/>
          <w:szCs w:val="22"/>
        </w:rPr>
        <w:t>All distribution charges that relate to our Distributor ID 2</w:t>
      </w:r>
      <w:r w:rsidR="009E099E">
        <w:rPr>
          <w:rFonts w:asciiTheme="minorHAnsi" w:hAnsiTheme="minorHAnsi"/>
          <w:sz w:val="22"/>
          <w:szCs w:val="22"/>
        </w:rPr>
        <w:t>9</w:t>
      </w:r>
      <w:r w:rsidR="001A54ED" w:rsidRPr="001A54ED">
        <w:rPr>
          <w:rFonts w:asciiTheme="minorHAnsi" w:hAnsiTheme="minorHAnsi"/>
          <w:sz w:val="22"/>
          <w:szCs w:val="22"/>
        </w:rPr>
        <w:t xml:space="preserve"> are provided in this statement. </w:t>
      </w:r>
    </w:p>
    <w:p w14:paraId="3FB33A04" w14:textId="77777777" w:rsidR="001A54ED" w:rsidRDefault="00F90E77" w:rsidP="001A54ED">
      <w:pPr>
        <w:pStyle w:val="Default"/>
        <w:spacing w:after="274"/>
        <w:rPr>
          <w:rFonts w:asciiTheme="minorHAnsi" w:hAnsiTheme="minorHAnsi"/>
          <w:sz w:val="22"/>
          <w:szCs w:val="22"/>
        </w:rPr>
      </w:pPr>
      <w:r>
        <w:rPr>
          <w:rFonts w:asciiTheme="minorHAnsi" w:hAnsiTheme="minorHAnsi"/>
          <w:sz w:val="22"/>
          <w:szCs w:val="22"/>
        </w:rPr>
        <w:t xml:space="preserve">1.13. </w:t>
      </w:r>
      <w:r w:rsidR="001A54ED" w:rsidRPr="001A54ED">
        <w:rPr>
          <w:rFonts w:asciiTheme="minorHAnsi" w:hAnsiTheme="minorHAnsi"/>
          <w:sz w:val="22"/>
          <w:szCs w:val="22"/>
        </w:rPr>
        <w:t xml:space="preserve">You can identify your charges by referencing your PC, LLFC and SSC line loss factor class, from Annex 1. If the MPAN is for a Designated EHV Property then the charges will be found in Annex 2. In a few instances, the charges maybe contained in Annex 3. When identifying charges in Annex 2, please note that some line loss factor classes have more than one charge. In this instance you will need to select the correct charge by cross referencing with the core MPAN provided in the table. </w:t>
      </w:r>
    </w:p>
    <w:p w14:paraId="59C57D0C" w14:textId="77777777" w:rsidR="001A54ED" w:rsidRDefault="00F90E77" w:rsidP="001A54ED">
      <w:pPr>
        <w:pStyle w:val="Default"/>
        <w:rPr>
          <w:rFonts w:asciiTheme="minorHAnsi" w:hAnsiTheme="minorHAnsi"/>
          <w:sz w:val="22"/>
          <w:szCs w:val="22"/>
        </w:rPr>
      </w:pPr>
      <w:r>
        <w:rPr>
          <w:rFonts w:asciiTheme="minorHAnsi" w:hAnsiTheme="minorHAnsi"/>
          <w:sz w:val="22"/>
          <w:szCs w:val="22"/>
        </w:rPr>
        <w:t xml:space="preserve">1.14. </w:t>
      </w:r>
      <w:r w:rsidR="001A54ED" w:rsidRPr="001A54ED">
        <w:rPr>
          <w:rFonts w:asciiTheme="minorHAnsi" w:hAnsiTheme="minorHAnsi"/>
          <w:sz w:val="22"/>
          <w:szCs w:val="22"/>
        </w:rPr>
        <w:t xml:space="preserve">Once you have identified which charge structure applies to your MPAN then you will be able to calculate an estimate of your distribution charge using the calculator provided in the spreadsheet ‘Schedule of charges and other tables’ found in the sheet called ‘Charge Calculator’. This spreadsheet can be downloaded from </w:t>
      </w:r>
      <w:hyperlink r:id="rId18" w:history="1">
        <w:r w:rsidR="00C944A7" w:rsidRPr="00D749E2">
          <w:rPr>
            <w:rStyle w:val="Hyperlink"/>
            <w:rFonts w:asciiTheme="minorHAnsi" w:hAnsiTheme="minorHAnsi"/>
            <w:sz w:val="22"/>
            <w:szCs w:val="22"/>
          </w:rPr>
          <w:t>http://www.harlaxtonenergynetworks.com</w:t>
        </w:r>
      </w:hyperlink>
    </w:p>
    <w:p w14:paraId="085B2E26" w14:textId="77777777" w:rsidR="00C944A7" w:rsidRPr="001A54ED" w:rsidRDefault="00C944A7" w:rsidP="001A54ED">
      <w:pPr>
        <w:pStyle w:val="Default"/>
        <w:rPr>
          <w:rFonts w:asciiTheme="minorHAnsi" w:hAnsiTheme="minorHAnsi"/>
          <w:sz w:val="22"/>
          <w:szCs w:val="22"/>
        </w:rPr>
      </w:pPr>
    </w:p>
    <w:p w14:paraId="2D0613CA" w14:textId="77777777" w:rsidR="001A54ED" w:rsidRPr="00C944A7" w:rsidRDefault="001A54ED" w:rsidP="001A54ED">
      <w:pPr>
        <w:pStyle w:val="Default"/>
        <w:rPr>
          <w:rFonts w:asciiTheme="minorHAnsi" w:hAnsiTheme="minorHAnsi"/>
          <w:szCs w:val="22"/>
          <w:u w:val="single"/>
        </w:rPr>
      </w:pPr>
    </w:p>
    <w:p w14:paraId="5D31F7C2" w14:textId="77777777" w:rsidR="001A54ED" w:rsidRPr="00C944A7" w:rsidRDefault="001A54ED" w:rsidP="00CB6EC5">
      <w:pPr>
        <w:pStyle w:val="Subtitle"/>
        <w:rPr>
          <w:sz w:val="24"/>
          <w:u w:val="single"/>
        </w:rPr>
      </w:pPr>
      <w:r w:rsidRPr="00C944A7">
        <w:rPr>
          <w:sz w:val="24"/>
          <w:u w:val="single"/>
        </w:rPr>
        <w:t xml:space="preserve">Reducing </w:t>
      </w:r>
      <w:r w:rsidR="00B742F7">
        <w:rPr>
          <w:sz w:val="24"/>
          <w:u w:val="single"/>
        </w:rPr>
        <w:t>Y</w:t>
      </w:r>
      <w:r w:rsidRPr="00C944A7">
        <w:rPr>
          <w:sz w:val="24"/>
          <w:u w:val="single"/>
        </w:rPr>
        <w:t>our</w:t>
      </w:r>
      <w:r w:rsidR="00B742F7">
        <w:rPr>
          <w:sz w:val="24"/>
          <w:u w:val="single"/>
        </w:rPr>
        <w:t xml:space="preserve"> C</w:t>
      </w:r>
      <w:r w:rsidRPr="00C944A7">
        <w:rPr>
          <w:sz w:val="24"/>
          <w:u w:val="single"/>
        </w:rPr>
        <w:t xml:space="preserve">harges </w:t>
      </w:r>
    </w:p>
    <w:p w14:paraId="60FAC356" w14:textId="77777777" w:rsidR="001A54ED" w:rsidRDefault="00F90E77" w:rsidP="001A54ED">
      <w:pPr>
        <w:pStyle w:val="Default"/>
        <w:spacing w:after="271"/>
        <w:rPr>
          <w:rFonts w:asciiTheme="minorHAnsi" w:hAnsiTheme="minorHAnsi"/>
          <w:sz w:val="22"/>
          <w:szCs w:val="22"/>
        </w:rPr>
      </w:pPr>
      <w:r>
        <w:rPr>
          <w:rFonts w:asciiTheme="minorHAnsi" w:hAnsiTheme="minorHAnsi"/>
          <w:sz w:val="22"/>
          <w:szCs w:val="22"/>
        </w:rPr>
        <w:t xml:space="preserve">1.15. </w:t>
      </w:r>
      <w:r w:rsidR="001A54ED" w:rsidRPr="001A54ED">
        <w:rPr>
          <w:rFonts w:asciiTheme="minorHAnsi" w:hAnsiTheme="minorHAnsi"/>
          <w:sz w:val="22"/>
          <w:szCs w:val="22"/>
        </w:rPr>
        <w:t xml:space="preserve">The most effective way to reduce your energy charges is to reduce your consumption by switching off or using more energy efficient appliances. However, there are also other potential opportunities to reduce your distribution charges; for example, it may be beneficial to shift demand or generation to a better time period where demand use is likely to be cheaper outside peak periods and generation credits more beneficial, although the ability to directly benefit will be linked to the structure of your supply charges. </w:t>
      </w:r>
    </w:p>
    <w:p w14:paraId="0F24AFBC" w14:textId="77777777" w:rsidR="00C944A7" w:rsidRPr="001A54ED" w:rsidRDefault="00C944A7" w:rsidP="001A54ED">
      <w:pPr>
        <w:pStyle w:val="Default"/>
        <w:spacing w:after="271"/>
        <w:rPr>
          <w:rFonts w:asciiTheme="minorHAnsi" w:hAnsiTheme="minorHAnsi"/>
          <w:sz w:val="22"/>
          <w:szCs w:val="22"/>
        </w:rPr>
      </w:pPr>
    </w:p>
    <w:p w14:paraId="0D766B95" w14:textId="77777777" w:rsidR="001A54ED" w:rsidRDefault="00F90E77" w:rsidP="001A54ED">
      <w:pPr>
        <w:pStyle w:val="Default"/>
        <w:rPr>
          <w:rFonts w:asciiTheme="minorHAnsi" w:hAnsiTheme="minorHAnsi"/>
          <w:sz w:val="22"/>
          <w:szCs w:val="22"/>
        </w:rPr>
      </w:pPr>
      <w:r>
        <w:rPr>
          <w:rFonts w:asciiTheme="minorHAnsi" w:hAnsiTheme="minorHAnsi"/>
          <w:sz w:val="22"/>
          <w:szCs w:val="22"/>
        </w:rPr>
        <w:t xml:space="preserve">1.16. </w:t>
      </w:r>
      <w:r w:rsidR="001A54ED" w:rsidRPr="001A54ED">
        <w:rPr>
          <w:rFonts w:asciiTheme="minorHAnsi" w:hAnsiTheme="minorHAnsi"/>
          <w:sz w:val="22"/>
          <w:szCs w:val="22"/>
        </w:rPr>
        <w:t xml:space="preserve">The calculator mentioned above provides the opportunity to establish a forecast of the change in distribution charges that could be achieved if you are able to change any of the consumption related inputs. </w:t>
      </w:r>
    </w:p>
    <w:p w14:paraId="1309F405" w14:textId="77777777" w:rsidR="00C944A7" w:rsidRPr="001A54ED" w:rsidRDefault="00C944A7" w:rsidP="001A54ED">
      <w:pPr>
        <w:pStyle w:val="Default"/>
        <w:rPr>
          <w:rFonts w:asciiTheme="minorHAnsi" w:hAnsiTheme="minorHAnsi"/>
          <w:sz w:val="22"/>
          <w:szCs w:val="22"/>
        </w:rPr>
      </w:pPr>
    </w:p>
    <w:p w14:paraId="7FE322D4" w14:textId="77777777" w:rsidR="001A54ED" w:rsidRPr="001A54ED" w:rsidRDefault="001A54ED" w:rsidP="001A54ED">
      <w:pPr>
        <w:pStyle w:val="Default"/>
        <w:rPr>
          <w:rFonts w:asciiTheme="minorHAnsi" w:hAnsiTheme="minorHAnsi"/>
          <w:color w:val="auto"/>
          <w:sz w:val="22"/>
          <w:szCs w:val="22"/>
        </w:rPr>
      </w:pPr>
    </w:p>
    <w:p w14:paraId="47BC1600" w14:textId="77777777" w:rsidR="001A54ED" w:rsidRDefault="00B742F7" w:rsidP="008818C1">
      <w:pPr>
        <w:pStyle w:val="Subtitle"/>
        <w:rPr>
          <w:sz w:val="24"/>
          <w:u w:val="single"/>
        </w:rPr>
      </w:pPr>
      <w:r>
        <w:rPr>
          <w:sz w:val="24"/>
          <w:u w:val="single"/>
        </w:rPr>
        <w:t>Reactive P</w:t>
      </w:r>
      <w:r w:rsidR="001A54ED" w:rsidRPr="00C944A7">
        <w:rPr>
          <w:sz w:val="24"/>
          <w:u w:val="single"/>
        </w:rPr>
        <w:t>ower a</w:t>
      </w:r>
      <w:r>
        <w:rPr>
          <w:sz w:val="24"/>
          <w:u w:val="single"/>
        </w:rPr>
        <w:t>nd Reactive Power C</w:t>
      </w:r>
      <w:r w:rsidR="001A54ED" w:rsidRPr="00C944A7">
        <w:rPr>
          <w:sz w:val="24"/>
          <w:u w:val="single"/>
        </w:rPr>
        <w:t xml:space="preserve">harges </w:t>
      </w:r>
    </w:p>
    <w:p w14:paraId="15A4E8ED" w14:textId="77777777" w:rsidR="00C944A7" w:rsidRPr="00C944A7" w:rsidRDefault="00C944A7" w:rsidP="00C944A7"/>
    <w:p w14:paraId="7288874A" w14:textId="77777777" w:rsidR="001A54ED" w:rsidRDefault="00F90E77" w:rsidP="001A54ED">
      <w:pPr>
        <w:pStyle w:val="Default"/>
        <w:spacing w:after="273"/>
        <w:rPr>
          <w:rFonts w:asciiTheme="minorHAnsi" w:hAnsiTheme="minorHAnsi"/>
          <w:color w:val="auto"/>
          <w:sz w:val="22"/>
          <w:szCs w:val="22"/>
        </w:rPr>
      </w:pPr>
      <w:r>
        <w:rPr>
          <w:rFonts w:asciiTheme="minorHAnsi" w:hAnsiTheme="minorHAnsi"/>
          <w:color w:val="auto"/>
          <w:sz w:val="22"/>
          <w:szCs w:val="22"/>
        </w:rPr>
        <w:t xml:space="preserve">1.17. </w:t>
      </w:r>
      <w:r w:rsidR="001A54ED" w:rsidRPr="001A54ED">
        <w:rPr>
          <w:rFonts w:asciiTheme="minorHAnsi" w:hAnsiTheme="minorHAnsi"/>
          <w:color w:val="auto"/>
          <w:sz w:val="22"/>
          <w:szCs w:val="22"/>
        </w:rPr>
        <w:t xml:space="preserve">Reactive power is a separately charged component of connections that are half-hourly metered. Reactive power charges are generally avoidable if ‘best practice’ design of the properties’ electrical installation has been provided in order to maintain a power factor between 0.95 and unity at the Metering Point. </w:t>
      </w:r>
    </w:p>
    <w:p w14:paraId="7ABB0EC0" w14:textId="77777777" w:rsidR="00C944A7" w:rsidRPr="001A54ED" w:rsidRDefault="00C944A7" w:rsidP="001A54ED">
      <w:pPr>
        <w:pStyle w:val="Default"/>
        <w:spacing w:after="273"/>
        <w:rPr>
          <w:rFonts w:asciiTheme="minorHAnsi" w:hAnsiTheme="minorHAnsi"/>
          <w:color w:val="auto"/>
          <w:sz w:val="22"/>
          <w:szCs w:val="22"/>
        </w:rPr>
      </w:pPr>
    </w:p>
    <w:p w14:paraId="7531D91A" w14:textId="77777777" w:rsidR="001A54ED" w:rsidRDefault="00F90E77" w:rsidP="001A54ED">
      <w:pPr>
        <w:pStyle w:val="Default"/>
        <w:spacing w:after="273"/>
        <w:rPr>
          <w:rFonts w:asciiTheme="minorHAnsi" w:hAnsiTheme="minorHAnsi"/>
          <w:color w:val="auto"/>
          <w:sz w:val="22"/>
          <w:szCs w:val="22"/>
        </w:rPr>
      </w:pPr>
      <w:r>
        <w:rPr>
          <w:rFonts w:asciiTheme="minorHAnsi" w:hAnsiTheme="minorHAnsi" w:cs="Arial"/>
          <w:color w:val="auto"/>
          <w:sz w:val="22"/>
          <w:szCs w:val="22"/>
        </w:rPr>
        <w:t xml:space="preserve">1.18. </w:t>
      </w:r>
      <w:r w:rsidR="008818C1">
        <w:rPr>
          <w:rFonts w:asciiTheme="minorHAnsi" w:hAnsiTheme="minorHAnsi" w:cs="Arial"/>
          <w:color w:val="auto"/>
          <w:sz w:val="22"/>
          <w:szCs w:val="22"/>
        </w:rPr>
        <w:t>R</w:t>
      </w:r>
      <w:r w:rsidR="001A54ED" w:rsidRPr="001A54ED">
        <w:rPr>
          <w:rFonts w:asciiTheme="minorHAnsi" w:hAnsiTheme="minorHAnsi"/>
          <w:color w:val="auto"/>
          <w:sz w:val="22"/>
          <w:szCs w:val="22"/>
        </w:rPr>
        <w:t xml:space="preserve">eactive Power (kVArh) is the difference between working power (active power measured in kW) and total power consumed (apparent power measured in kVA). Essentially it is a measure of how efficiently electrical power is transported through an electrical installation or a Distribution System. </w:t>
      </w:r>
    </w:p>
    <w:p w14:paraId="1462B64E" w14:textId="77777777" w:rsidR="00C944A7" w:rsidRPr="001A54ED" w:rsidRDefault="00C944A7" w:rsidP="001A54ED">
      <w:pPr>
        <w:pStyle w:val="Default"/>
        <w:spacing w:after="273"/>
        <w:rPr>
          <w:rFonts w:asciiTheme="minorHAnsi" w:hAnsiTheme="minorHAnsi"/>
          <w:color w:val="auto"/>
          <w:sz w:val="22"/>
          <w:szCs w:val="22"/>
        </w:rPr>
      </w:pPr>
    </w:p>
    <w:p w14:paraId="29F88B8E" w14:textId="77777777" w:rsidR="00C944A7" w:rsidRDefault="00F90E77" w:rsidP="001A54ED">
      <w:pPr>
        <w:pStyle w:val="Default"/>
        <w:spacing w:after="273"/>
        <w:rPr>
          <w:rFonts w:asciiTheme="minorHAnsi" w:hAnsiTheme="minorHAnsi"/>
          <w:color w:val="auto"/>
          <w:sz w:val="22"/>
          <w:szCs w:val="22"/>
        </w:rPr>
      </w:pPr>
      <w:r>
        <w:rPr>
          <w:rFonts w:asciiTheme="minorHAnsi" w:hAnsiTheme="minorHAnsi"/>
          <w:color w:val="auto"/>
          <w:sz w:val="22"/>
          <w:szCs w:val="22"/>
        </w:rPr>
        <w:t xml:space="preserve">1.19. </w:t>
      </w:r>
      <w:r w:rsidR="001A54ED" w:rsidRPr="001A54ED">
        <w:rPr>
          <w:rFonts w:asciiTheme="minorHAnsi" w:hAnsiTheme="minorHAnsi"/>
          <w:color w:val="auto"/>
          <w:sz w:val="22"/>
          <w:szCs w:val="22"/>
        </w:rPr>
        <w:t xml:space="preserve">Power flowing with a power factor of unity results in the most efficient loading of the Distribution System. Power flowing with a power factor of less than 0.95 results in much higher losses in the Distribution System, a need to potentially provide higher capacity electrical equipment and consequently a higher bill for you the consumer. A </w:t>
      </w:r>
    </w:p>
    <w:p w14:paraId="3F0E896C" w14:textId="77777777" w:rsidR="00C944A7" w:rsidRDefault="00C944A7" w:rsidP="001A54ED">
      <w:pPr>
        <w:pStyle w:val="Default"/>
        <w:spacing w:after="273"/>
        <w:rPr>
          <w:rFonts w:asciiTheme="minorHAnsi" w:hAnsiTheme="minorHAnsi"/>
          <w:color w:val="auto"/>
          <w:sz w:val="22"/>
          <w:szCs w:val="22"/>
        </w:rPr>
      </w:pPr>
    </w:p>
    <w:p w14:paraId="2BBACEF9" w14:textId="77777777" w:rsidR="00B742F7" w:rsidRDefault="00B742F7" w:rsidP="001A54ED">
      <w:pPr>
        <w:pStyle w:val="Default"/>
        <w:spacing w:after="273"/>
        <w:rPr>
          <w:rFonts w:asciiTheme="minorHAnsi" w:hAnsiTheme="minorHAnsi"/>
          <w:color w:val="auto"/>
          <w:sz w:val="22"/>
          <w:szCs w:val="22"/>
        </w:rPr>
      </w:pPr>
    </w:p>
    <w:p w14:paraId="38A2FF06" w14:textId="77777777" w:rsidR="00D750D6" w:rsidRDefault="00D750D6" w:rsidP="001A54ED">
      <w:pPr>
        <w:pStyle w:val="Default"/>
        <w:spacing w:after="273"/>
        <w:rPr>
          <w:rFonts w:asciiTheme="minorHAnsi" w:hAnsiTheme="minorHAnsi"/>
          <w:color w:val="auto"/>
          <w:sz w:val="22"/>
          <w:szCs w:val="22"/>
        </w:rPr>
      </w:pPr>
    </w:p>
    <w:p w14:paraId="601E577A" w14:textId="77777777" w:rsidR="001A54ED" w:rsidRDefault="001A54ED" w:rsidP="001A54ED">
      <w:pPr>
        <w:pStyle w:val="Default"/>
        <w:spacing w:after="273"/>
        <w:rPr>
          <w:rFonts w:asciiTheme="minorHAnsi" w:hAnsiTheme="minorHAnsi"/>
          <w:color w:val="auto"/>
          <w:sz w:val="22"/>
          <w:szCs w:val="22"/>
        </w:rPr>
      </w:pPr>
      <w:r w:rsidRPr="001A54ED">
        <w:rPr>
          <w:rFonts w:asciiTheme="minorHAnsi" w:hAnsiTheme="minorHAnsi"/>
          <w:color w:val="auto"/>
          <w:sz w:val="22"/>
          <w:szCs w:val="22"/>
        </w:rPr>
        <w:t xml:space="preserve">comparatively small improvement in power factor can bring about a significant reduction in losses since losses are proportional to the square of the current. </w:t>
      </w:r>
    </w:p>
    <w:p w14:paraId="070EDC69" w14:textId="77777777" w:rsidR="00C944A7" w:rsidRDefault="00C944A7" w:rsidP="001A54ED">
      <w:pPr>
        <w:pStyle w:val="Default"/>
        <w:spacing w:after="273"/>
        <w:rPr>
          <w:rFonts w:asciiTheme="minorHAnsi" w:hAnsiTheme="minorHAnsi"/>
          <w:color w:val="auto"/>
          <w:sz w:val="22"/>
          <w:szCs w:val="22"/>
        </w:rPr>
      </w:pPr>
    </w:p>
    <w:p w14:paraId="602A49A3" w14:textId="77777777" w:rsidR="001A54ED" w:rsidRDefault="00F90E77" w:rsidP="001A54ED">
      <w:pPr>
        <w:pStyle w:val="Default"/>
        <w:spacing w:after="273"/>
        <w:rPr>
          <w:rFonts w:asciiTheme="minorHAnsi" w:hAnsiTheme="minorHAnsi"/>
          <w:color w:val="auto"/>
          <w:sz w:val="22"/>
          <w:szCs w:val="22"/>
        </w:rPr>
      </w:pPr>
      <w:r>
        <w:rPr>
          <w:rFonts w:asciiTheme="minorHAnsi" w:hAnsiTheme="minorHAnsi"/>
          <w:color w:val="auto"/>
          <w:sz w:val="22"/>
          <w:szCs w:val="22"/>
        </w:rPr>
        <w:t xml:space="preserve">1.20. </w:t>
      </w:r>
      <w:r w:rsidR="001A54ED" w:rsidRPr="001A54ED">
        <w:rPr>
          <w:rFonts w:asciiTheme="minorHAnsi" w:hAnsiTheme="minorHAnsi"/>
          <w:color w:val="auto"/>
          <w:sz w:val="22"/>
          <w:szCs w:val="22"/>
        </w:rPr>
        <w:t xml:space="preserve">Different types of electrical equipment require some ‘reactive power’ in addition to ‘active power’ in order to work effectively. Electric motors, transformers and fluorescent lighting, for example, may produce poor power factors due to the nature of their inductive load. However, if good design practice is applied then the poor power factor of appliances can be corrected as near as possible to source. Alternatively poor power factor can be corrected centrally near to the meter. </w:t>
      </w:r>
    </w:p>
    <w:p w14:paraId="5157D379" w14:textId="77777777" w:rsidR="00C944A7" w:rsidRPr="001A54ED" w:rsidRDefault="00C944A7" w:rsidP="001A54ED">
      <w:pPr>
        <w:pStyle w:val="Default"/>
        <w:spacing w:after="273"/>
        <w:rPr>
          <w:rFonts w:asciiTheme="minorHAnsi" w:hAnsiTheme="minorHAnsi"/>
          <w:color w:val="auto"/>
          <w:sz w:val="22"/>
          <w:szCs w:val="22"/>
        </w:rPr>
      </w:pPr>
    </w:p>
    <w:p w14:paraId="315899F5" w14:textId="77777777" w:rsidR="001A54ED" w:rsidRPr="001A54ED" w:rsidRDefault="00F90E77" w:rsidP="001A54ED">
      <w:pPr>
        <w:pStyle w:val="Default"/>
        <w:rPr>
          <w:rFonts w:asciiTheme="minorHAnsi" w:hAnsiTheme="minorHAnsi"/>
          <w:color w:val="auto"/>
          <w:sz w:val="22"/>
          <w:szCs w:val="22"/>
        </w:rPr>
      </w:pPr>
      <w:r>
        <w:rPr>
          <w:rFonts w:asciiTheme="minorHAnsi" w:hAnsiTheme="minorHAnsi"/>
          <w:color w:val="auto"/>
          <w:sz w:val="22"/>
          <w:szCs w:val="22"/>
        </w:rPr>
        <w:t xml:space="preserve">1.21. </w:t>
      </w:r>
      <w:r w:rsidR="001A54ED" w:rsidRPr="001A54ED">
        <w:rPr>
          <w:rFonts w:asciiTheme="minorHAnsi" w:hAnsiTheme="minorHAnsi"/>
          <w:color w:val="auto"/>
          <w:sz w:val="22"/>
          <w:szCs w:val="22"/>
        </w:rPr>
        <w:t xml:space="preserve">There are many advantages that can be achieved by correcting poor power factor. These include: reduced energy bills through lower reactive charges, lower capacity charges and reduced power consumption and reduced voltage drop in long cable runs. </w:t>
      </w:r>
    </w:p>
    <w:p w14:paraId="2F170D0B" w14:textId="77777777" w:rsidR="001A54ED" w:rsidRPr="001A54ED" w:rsidRDefault="001A54ED" w:rsidP="008818C1">
      <w:pPr>
        <w:pStyle w:val="Subtitle"/>
      </w:pPr>
    </w:p>
    <w:p w14:paraId="225C2BF3" w14:textId="77777777" w:rsidR="00912F3C" w:rsidRPr="00C944A7" w:rsidRDefault="00960873" w:rsidP="00912F3C">
      <w:pPr>
        <w:pStyle w:val="Subtitle"/>
        <w:rPr>
          <w:sz w:val="24"/>
          <w:u w:val="single"/>
        </w:rPr>
      </w:pPr>
      <w:r>
        <w:rPr>
          <w:sz w:val="24"/>
          <w:u w:val="single"/>
        </w:rPr>
        <w:t>Site-specific EDCM C</w:t>
      </w:r>
      <w:r w:rsidR="00912F3C" w:rsidRPr="00C944A7">
        <w:rPr>
          <w:sz w:val="24"/>
          <w:u w:val="single"/>
        </w:rPr>
        <w:t xml:space="preserve">harges </w:t>
      </w:r>
    </w:p>
    <w:p w14:paraId="450ED1A8" w14:textId="77777777" w:rsidR="00912F3C" w:rsidRPr="00912F3C" w:rsidRDefault="00912F3C" w:rsidP="00912F3C">
      <w:pPr>
        <w:pStyle w:val="Default"/>
        <w:rPr>
          <w:rFonts w:asciiTheme="minorHAnsi" w:hAnsiTheme="minorHAnsi" w:cs="Arial"/>
          <w:sz w:val="22"/>
          <w:szCs w:val="22"/>
        </w:rPr>
      </w:pPr>
      <w:r w:rsidRPr="00912F3C">
        <w:rPr>
          <w:rFonts w:asciiTheme="minorHAnsi" w:hAnsiTheme="minorHAnsi" w:cs="Arial"/>
          <w:sz w:val="22"/>
          <w:szCs w:val="22"/>
        </w:rPr>
        <w:t xml:space="preserve">1.22. A site classified as a Designated EHV Property is subject to a locational based charging methodology (referred to as EDCM) for higher voltage network users. Distributors use two approved approaches: Long Run Incremental Cost Pricing (LRIC) and Forward Cost Pricing (FCP) and we use the FCP. The EDCM will apply to Customers connected at Extra High Voltage or connected at High Voltage and metered at a high voltage substation. </w:t>
      </w:r>
    </w:p>
    <w:p w14:paraId="648E05B4" w14:textId="77777777" w:rsidR="00912F3C" w:rsidRPr="00912F3C" w:rsidRDefault="00912F3C" w:rsidP="00912F3C">
      <w:pPr>
        <w:autoSpaceDE w:val="0"/>
        <w:autoSpaceDN w:val="0"/>
        <w:adjustRightInd w:val="0"/>
        <w:spacing w:after="0" w:line="240" w:lineRule="auto"/>
        <w:rPr>
          <w:rFonts w:cs="Arial"/>
          <w:color w:val="000000"/>
        </w:rPr>
      </w:pPr>
    </w:p>
    <w:p w14:paraId="377DA4E8" w14:textId="77777777" w:rsidR="00912F3C" w:rsidRPr="00912F3C" w:rsidRDefault="00912F3C" w:rsidP="00912F3C">
      <w:pPr>
        <w:autoSpaceDE w:val="0"/>
        <w:autoSpaceDN w:val="0"/>
        <w:adjustRightInd w:val="0"/>
        <w:spacing w:after="0" w:line="240" w:lineRule="auto"/>
        <w:rPr>
          <w:rFonts w:cs="Arial"/>
          <w:color w:val="000000"/>
        </w:rPr>
      </w:pPr>
    </w:p>
    <w:p w14:paraId="6A2C1BF0" w14:textId="77777777" w:rsidR="00912F3C" w:rsidRPr="00912F3C" w:rsidRDefault="00912F3C" w:rsidP="00912F3C">
      <w:pPr>
        <w:autoSpaceDE w:val="0"/>
        <w:autoSpaceDN w:val="0"/>
        <w:adjustRightInd w:val="0"/>
        <w:spacing w:after="0" w:line="240" w:lineRule="auto"/>
        <w:rPr>
          <w:rFonts w:cs="Arial"/>
          <w:color w:val="000000"/>
        </w:rPr>
      </w:pPr>
      <w:r>
        <w:rPr>
          <w:rFonts w:cs="Arial"/>
          <w:color w:val="000000"/>
        </w:rPr>
        <w:t xml:space="preserve">1.23. </w:t>
      </w:r>
      <w:r w:rsidRPr="00912F3C">
        <w:rPr>
          <w:rFonts w:cs="Arial"/>
          <w:color w:val="000000"/>
        </w:rPr>
        <w:t xml:space="preserve">EDCM charges are site-specific, reflecting the degree to which the local and higher voltage networks have the capacity to serve more demand or generation without the need to upgrade the electricity infrastructure. The charges also reflect the networks specifically used to deliver the electricity to the site as well as the usage at the site. Generators with non-intermittent output and deemed to be providing beneficial support to our networks may qualify to receive payment. </w:t>
      </w:r>
    </w:p>
    <w:p w14:paraId="3938C737" w14:textId="77777777" w:rsidR="00912F3C" w:rsidRPr="00912F3C" w:rsidRDefault="00912F3C" w:rsidP="00912F3C">
      <w:pPr>
        <w:autoSpaceDE w:val="0"/>
        <w:autoSpaceDN w:val="0"/>
        <w:adjustRightInd w:val="0"/>
        <w:spacing w:after="0" w:line="240" w:lineRule="auto"/>
        <w:rPr>
          <w:rFonts w:ascii="Arial" w:hAnsi="Arial" w:cs="Arial"/>
          <w:color w:val="000000"/>
          <w:sz w:val="24"/>
          <w:szCs w:val="24"/>
        </w:rPr>
      </w:pPr>
    </w:p>
    <w:p w14:paraId="523F5A94" w14:textId="77777777" w:rsidR="00912F3C" w:rsidRDefault="00912F3C" w:rsidP="00912F3C">
      <w:pPr>
        <w:autoSpaceDE w:val="0"/>
        <w:autoSpaceDN w:val="0"/>
        <w:adjustRightInd w:val="0"/>
        <w:spacing w:after="0" w:line="240" w:lineRule="auto"/>
        <w:rPr>
          <w:rFonts w:cs="Arial"/>
          <w:color w:val="000000"/>
        </w:rPr>
      </w:pPr>
      <w:r w:rsidRPr="00912F3C">
        <w:rPr>
          <w:rFonts w:cs="Arial"/>
          <w:color w:val="000000"/>
        </w:rPr>
        <w:t xml:space="preserve">1.24. The charges under the EDCM comprise of the following individual components: </w:t>
      </w:r>
    </w:p>
    <w:p w14:paraId="6382B22F" w14:textId="77777777" w:rsidR="00912F3C" w:rsidRPr="00912F3C" w:rsidRDefault="00912F3C" w:rsidP="00912F3C">
      <w:pPr>
        <w:autoSpaceDE w:val="0"/>
        <w:autoSpaceDN w:val="0"/>
        <w:adjustRightInd w:val="0"/>
        <w:spacing w:after="0" w:line="240" w:lineRule="auto"/>
        <w:rPr>
          <w:rFonts w:cs="Arial"/>
          <w:color w:val="000000"/>
        </w:rPr>
      </w:pPr>
    </w:p>
    <w:p w14:paraId="27FAADC9" w14:textId="77777777" w:rsidR="00912F3C" w:rsidRDefault="00912F3C" w:rsidP="00912F3C">
      <w:pPr>
        <w:pStyle w:val="ListParagraph"/>
        <w:numPr>
          <w:ilvl w:val="0"/>
          <w:numId w:val="15"/>
        </w:numPr>
        <w:autoSpaceDE w:val="0"/>
        <w:autoSpaceDN w:val="0"/>
        <w:adjustRightInd w:val="0"/>
        <w:spacing w:after="0" w:line="240" w:lineRule="auto"/>
        <w:rPr>
          <w:rFonts w:cs="Arial"/>
          <w:color w:val="000000"/>
        </w:rPr>
      </w:pPr>
      <w:bookmarkStart w:id="13" w:name="_Ref410904961"/>
      <w:r w:rsidRPr="00912F3C">
        <w:rPr>
          <w:rFonts w:cs="Arial"/>
          <w:b/>
          <w:bCs/>
          <w:color w:val="000000"/>
        </w:rPr>
        <w:t xml:space="preserve">Fixed charge </w:t>
      </w:r>
      <w:r w:rsidRPr="00912F3C">
        <w:rPr>
          <w:rFonts w:cs="Arial"/>
          <w:color w:val="000000"/>
        </w:rPr>
        <w:t>-This charge recovers operational costs associated with those connection assets that are provided for the ‘sole’ use of the customer. The value of these assets is used a</w:t>
      </w:r>
      <w:r>
        <w:rPr>
          <w:rFonts w:cs="Arial"/>
          <w:color w:val="000000"/>
        </w:rPr>
        <w:t>s a basis to derive the charge.</w:t>
      </w:r>
      <w:bookmarkEnd w:id="13"/>
    </w:p>
    <w:p w14:paraId="56E9C365" w14:textId="77777777" w:rsidR="00912F3C" w:rsidRDefault="00912F3C" w:rsidP="00912F3C">
      <w:pPr>
        <w:pStyle w:val="ListParagraph"/>
        <w:numPr>
          <w:ilvl w:val="0"/>
          <w:numId w:val="15"/>
        </w:numPr>
        <w:autoSpaceDE w:val="0"/>
        <w:autoSpaceDN w:val="0"/>
        <w:adjustRightInd w:val="0"/>
        <w:spacing w:after="0" w:line="240" w:lineRule="auto"/>
        <w:rPr>
          <w:rFonts w:cs="Arial"/>
          <w:color w:val="000000"/>
        </w:rPr>
      </w:pPr>
      <w:r w:rsidRPr="00912F3C">
        <w:rPr>
          <w:rFonts w:cs="Arial"/>
          <w:b/>
          <w:bCs/>
          <w:color w:val="000000"/>
        </w:rPr>
        <w:t xml:space="preserve">Capacity charge (pence/kVA/day) </w:t>
      </w:r>
      <w:r w:rsidRPr="00912F3C">
        <w:rPr>
          <w:rFonts w:cs="Arial"/>
          <w:color w:val="000000"/>
        </w:rPr>
        <w:t xml:space="preserve">-This charge comprises the relevant FCP component, the National Grid Electricity Transmission cost and other regulated costs. </w:t>
      </w:r>
    </w:p>
    <w:p w14:paraId="60F9EF8D" w14:textId="77777777" w:rsidR="00912F3C" w:rsidRPr="00912F3C" w:rsidRDefault="00912F3C" w:rsidP="00912F3C">
      <w:pPr>
        <w:pStyle w:val="ListParagraph"/>
        <w:autoSpaceDE w:val="0"/>
        <w:autoSpaceDN w:val="0"/>
        <w:adjustRightInd w:val="0"/>
        <w:spacing w:after="0" w:line="240" w:lineRule="auto"/>
        <w:rPr>
          <w:rFonts w:cs="Arial"/>
          <w:color w:val="000000"/>
        </w:rPr>
      </w:pPr>
    </w:p>
    <w:p w14:paraId="6F67E9B5" w14:textId="77777777" w:rsidR="00912F3C" w:rsidRDefault="00912F3C" w:rsidP="00912F3C">
      <w:pPr>
        <w:autoSpaceDE w:val="0"/>
        <w:autoSpaceDN w:val="0"/>
        <w:adjustRightInd w:val="0"/>
        <w:spacing w:after="0" w:line="240" w:lineRule="auto"/>
        <w:rPr>
          <w:rFonts w:cs="Arial"/>
          <w:color w:val="000000"/>
        </w:rPr>
      </w:pPr>
      <w:r w:rsidRPr="00912F3C">
        <w:rPr>
          <w:rFonts w:cs="Arial"/>
          <w:color w:val="000000"/>
        </w:rPr>
        <w:t xml:space="preserve">Capacity charges are levied on the MIC, MEC, and any exceeded capacity. You may wish to review your MIC or MEC periodically to ensure it remains appropriate for your needs as you may be paying for more capacity than you require. If you wish to make changes contact us </w:t>
      </w:r>
      <w:r>
        <w:rPr>
          <w:rFonts w:cs="Arial"/>
          <w:color w:val="000000"/>
        </w:rPr>
        <w:t>via the details in this statement.</w:t>
      </w:r>
    </w:p>
    <w:p w14:paraId="007DBDC4" w14:textId="77777777" w:rsidR="00912F3C" w:rsidRPr="00912F3C" w:rsidRDefault="00912F3C" w:rsidP="00912F3C">
      <w:pPr>
        <w:autoSpaceDE w:val="0"/>
        <w:autoSpaceDN w:val="0"/>
        <w:adjustRightInd w:val="0"/>
        <w:spacing w:after="0" w:line="240" w:lineRule="auto"/>
        <w:rPr>
          <w:rFonts w:cs="Arial"/>
          <w:color w:val="000000"/>
        </w:rPr>
      </w:pPr>
    </w:p>
    <w:p w14:paraId="72E5C92A" w14:textId="77777777" w:rsidR="00912F3C" w:rsidRDefault="00912F3C" w:rsidP="00912F3C">
      <w:pPr>
        <w:autoSpaceDE w:val="0"/>
        <w:autoSpaceDN w:val="0"/>
        <w:adjustRightInd w:val="0"/>
        <w:spacing w:after="0" w:line="240" w:lineRule="auto"/>
        <w:rPr>
          <w:rFonts w:cs="Arial"/>
          <w:color w:val="000000"/>
        </w:rPr>
      </w:pPr>
      <w:r w:rsidRPr="00912F3C">
        <w:rPr>
          <w:rFonts w:cs="Arial"/>
          <w:color w:val="000000"/>
        </w:rPr>
        <w:t xml:space="preserve">The FCP cost is locational and reflects our assessment of future network reinforcement necessary at voltage of connection (local) and beyond at all higher voltages (remote) relevant to the customer’s connection. This results in the allocation of higher costs in more capacity congested parts of the network reflecting the greater likelihood of future reinforcement in these areas, and the allocation of lower costs in less congested parts of the network. The local FCP cost is included in the capacity charge. </w:t>
      </w:r>
    </w:p>
    <w:p w14:paraId="74633C9A" w14:textId="77777777" w:rsidR="00912F3C" w:rsidRPr="00912F3C" w:rsidRDefault="00912F3C" w:rsidP="00912F3C">
      <w:pPr>
        <w:autoSpaceDE w:val="0"/>
        <w:autoSpaceDN w:val="0"/>
        <w:adjustRightInd w:val="0"/>
        <w:spacing w:after="0" w:line="240" w:lineRule="auto"/>
        <w:rPr>
          <w:rFonts w:cs="Arial"/>
          <w:color w:val="000000"/>
        </w:rPr>
      </w:pPr>
    </w:p>
    <w:p w14:paraId="1E18DE5A" w14:textId="77777777" w:rsidR="00D750D6" w:rsidRDefault="00D750D6" w:rsidP="00912F3C">
      <w:pPr>
        <w:autoSpaceDE w:val="0"/>
        <w:autoSpaceDN w:val="0"/>
        <w:adjustRightInd w:val="0"/>
        <w:spacing w:after="0" w:line="240" w:lineRule="auto"/>
        <w:rPr>
          <w:rFonts w:cs="Arial"/>
          <w:color w:val="000000"/>
        </w:rPr>
      </w:pPr>
    </w:p>
    <w:p w14:paraId="3B16E6A8" w14:textId="77777777" w:rsidR="00D750D6" w:rsidRDefault="00D750D6" w:rsidP="00912F3C">
      <w:pPr>
        <w:autoSpaceDE w:val="0"/>
        <w:autoSpaceDN w:val="0"/>
        <w:adjustRightInd w:val="0"/>
        <w:spacing w:after="0" w:line="240" w:lineRule="auto"/>
        <w:rPr>
          <w:rFonts w:cs="Arial"/>
          <w:color w:val="000000"/>
        </w:rPr>
      </w:pPr>
    </w:p>
    <w:p w14:paraId="789B8B34" w14:textId="77777777" w:rsidR="00D750D6" w:rsidRDefault="00D750D6" w:rsidP="00912F3C">
      <w:pPr>
        <w:autoSpaceDE w:val="0"/>
        <w:autoSpaceDN w:val="0"/>
        <w:adjustRightInd w:val="0"/>
        <w:spacing w:after="0" w:line="240" w:lineRule="auto"/>
        <w:rPr>
          <w:rFonts w:cs="Arial"/>
          <w:color w:val="000000"/>
        </w:rPr>
      </w:pPr>
    </w:p>
    <w:p w14:paraId="0238315F" w14:textId="77777777" w:rsidR="00912F3C" w:rsidRDefault="00912F3C" w:rsidP="00912F3C">
      <w:pPr>
        <w:autoSpaceDE w:val="0"/>
        <w:autoSpaceDN w:val="0"/>
        <w:adjustRightInd w:val="0"/>
        <w:spacing w:after="0" w:line="240" w:lineRule="auto"/>
        <w:rPr>
          <w:rFonts w:cs="Arial"/>
        </w:rPr>
      </w:pPr>
      <w:r w:rsidRPr="00912F3C">
        <w:rPr>
          <w:rFonts w:cs="Arial"/>
          <w:color w:val="000000"/>
        </w:rPr>
        <w:t xml:space="preserve">Our regulated costs include direct and indirect operational costs and a residual amount to ensure recovery of our regulated allowed revenue. The capacity charge recovers these costs using the customer usage profile and the relevant </w:t>
      </w:r>
      <w:r w:rsidRPr="00912F3C">
        <w:rPr>
          <w:rFonts w:cs="Arial"/>
        </w:rPr>
        <w:t xml:space="preserve">assets being used to transport electricity between the source substation and customer’s Metering Point. </w:t>
      </w:r>
    </w:p>
    <w:p w14:paraId="40CAB725" w14:textId="77777777" w:rsidR="00912F3C" w:rsidRPr="00912F3C" w:rsidRDefault="00912F3C" w:rsidP="00912F3C">
      <w:pPr>
        <w:autoSpaceDE w:val="0"/>
        <w:autoSpaceDN w:val="0"/>
        <w:adjustRightInd w:val="0"/>
        <w:spacing w:after="0" w:line="240" w:lineRule="auto"/>
        <w:rPr>
          <w:rFonts w:cs="Arial"/>
        </w:rPr>
      </w:pPr>
    </w:p>
    <w:p w14:paraId="3BE0D1AC" w14:textId="77777777" w:rsidR="00912F3C" w:rsidRDefault="00912F3C" w:rsidP="00912F3C">
      <w:pPr>
        <w:pStyle w:val="ListParagraph"/>
        <w:numPr>
          <w:ilvl w:val="0"/>
          <w:numId w:val="15"/>
        </w:numPr>
        <w:autoSpaceDE w:val="0"/>
        <w:autoSpaceDN w:val="0"/>
        <w:adjustRightInd w:val="0"/>
        <w:spacing w:after="0" w:line="240" w:lineRule="auto"/>
        <w:rPr>
          <w:rFonts w:cs="Arial"/>
        </w:rPr>
      </w:pPr>
      <w:r w:rsidRPr="00912F3C">
        <w:rPr>
          <w:rFonts w:cs="Arial"/>
          <w:b/>
          <w:bCs/>
        </w:rPr>
        <w:t>Super-red unit charge (pence/kWh</w:t>
      </w:r>
      <w:r w:rsidRPr="00912F3C">
        <w:rPr>
          <w:rFonts w:cs="Arial"/>
        </w:rPr>
        <w:t xml:space="preserve">) -This charge recovers the remote FCP component. The charge is positive for import and negative for export which means you can either reduce your charges by minimising consumption or increasing export at those times. The charge is applied on consumption during the Super-red time period as detailed in Annex 2. </w:t>
      </w:r>
    </w:p>
    <w:p w14:paraId="3AD88C0D" w14:textId="77777777" w:rsidR="00C944A7" w:rsidRPr="00912F3C" w:rsidRDefault="00C944A7" w:rsidP="00C944A7">
      <w:pPr>
        <w:pStyle w:val="ListParagraph"/>
        <w:autoSpaceDE w:val="0"/>
        <w:autoSpaceDN w:val="0"/>
        <w:adjustRightInd w:val="0"/>
        <w:spacing w:after="0" w:line="240" w:lineRule="auto"/>
        <w:rPr>
          <w:rFonts w:cs="Arial"/>
        </w:rPr>
      </w:pPr>
    </w:p>
    <w:p w14:paraId="20819D06" w14:textId="77777777" w:rsidR="00912F3C" w:rsidRPr="00912F3C" w:rsidRDefault="00912F3C" w:rsidP="00912F3C">
      <w:pPr>
        <w:autoSpaceDE w:val="0"/>
        <w:autoSpaceDN w:val="0"/>
        <w:adjustRightInd w:val="0"/>
        <w:spacing w:after="260" w:line="240" w:lineRule="auto"/>
        <w:rPr>
          <w:rFonts w:cs="Arial"/>
        </w:rPr>
      </w:pPr>
      <w:r w:rsidRPr="00912F3C">
        <w:rPr>
          <w:rFonts w:cs="Arial"/>
        </w:rPr>
        <w:t xml:space="preserve">1.25. Future charge rates may be affected by consumption during the Super-red period. Therefore reducing consumption in the Super-red time period may be beneficial. </w:t>
      </w:r>
    </w:p>
    <w:p w14:paraId="2771C1E7" w14:textId="77777777" w:rsidR="00912F3C" w:rsidRPr="00912F3C" w:rsidRDefault="00912F3C" w:rsidP="00912F3C">
      <w:pPr>
        <w:autoSpaceDE w:val="0"/>
        <w:autoSpaceDN w:val="0"/>
        <w:adjustRightInd w:val="0"/>
        <w:spacing w:after="0" w:line="240" w:lineRule="auto"/>
        <w:rPr>
          <w:rFonts w:cs="Arial"/>
        </w:rPr>
      </w:pPr>
      <w:r w:rsidRPr="00912F3C">
        <w:rPr>
          <w:rFonts w:cs="Arial"/>
        </w:rPr>
        <w:t xml:space="preserve">1.26. </w:t>
      </w:r>
      <w:r w:rsidRPr="00912F3C">
        <w:rPr>
          <w:rFonts w:cs="Arial"/>
          <w:b/>
          <w:bCs/>
        </w:rPr>
        <w:t xml:space="preserve">Reactive Power </w:t>
      </w:r>
      <w:r w:rsidRPr="00912F3C">
        <w:rPr>
          <w:rFonts w:cs="Arial"/>
        </w:rPr>
        <w:t xml:space="preserve">-The EDCM does not include a separate charge component for any reactive power flows (kVAr) for either demand or generation. However, the EDCM charges do reflect the effect on the network of the customer’s power factor, for example unit charges can increase if your site power factor is poor (lower than 0.95). Improving your site’s power factor will also reduce the maximum demand (kVA) for the same power consumed in kW thus providing scope to reduce your agreed capacity requirements. </w:t>
      </w:r>
    </w:p>
    <w:p w14:paraId="522882C6" w14:textId="77777777" w:rsidR="00912F3C" w:rsidRDefault="00912F3C" w:rsidP="00912F3C">
      <w:pPr>
        <w:autoSpaceDE w:val="0"/>
        <w:autoSpaceDN w:val="0"/>
        <w:adjustRightInd w:val="0"/>
        <w:spacing w:after="0" w:line="240" w:lineRule="auto"/>
        <w:rPr>
          <w:rFonts w:cs="Arial"/>
        </w:rPr>
      </w:pPr>
    </w:p>
    <w:p w14:paraId="772DC72F" w14:textId="77777777" w:rsidR="00912F3C" w:rsidRDefault="00912F3C" w:rsidP="00912F3C">
      <w:pPr>
        <w:autoSpaceDE w:val="0"/>
        <w:autoSpaceDN w:val="0"/>
        <w:adjustRightInd w:val="0"/>
        <w:spacing w:after="0" w:line="240" w:lineRule="auto"/>
        <w:rPr>
          <w:rFonts w:cs="Arial"/>
        </w:rPr>
      </w:pPr>
    </w:p>
    <w:p w14:paraId="323F4D70" w14:textId="77777777" w:rsidR="00912F3C" w:rsidRDefault="00912F3C" w:rsidP="00912F3C">
      <w:pPr>
        <w:autoSpaceDE w:val="0"/>
        <w:autoSpaceDN w:val="0"/>
        <w:adjustRightInd w:val="0"/>
        <w:spacing w:after="0" w:line="240" w:lineRule="auto"/>
        <w:rPr>
          <w:rFonts w:cs="Arial"/>
        </w:rPr>
      </w:pPr>
    </w:p>
    <w:p w14:paraId="418A82CD" w14:textId="77777777" w:rsidR="00912F3C" w:rsidRDefault="00912F3C" w:rsidP="00912F3C">
      <w:pPr>
        <w:autoSpaceDE w:val="0"/>
        <w:autoSpaceDN w:val="0"/>
        <w:adjustRightInd w:val="0"/>
        <w:spacing w:after="0" w:line="240" w:lineRule="auto"/>
        <w:rPr>
          <w:rFonts w:cs="Arial"/>
        </w:rPr>
      </w:pPr>
    </w:p>
    <w:p w14:paraId="79C8C664" w14:textId="77777777" w:rsidR="00912F3C" w:rsidRDefault="00912F3C" w:rsidP="00912F3C">
      <w:pPr>
        <w:autoSpaceDE w:val="0"/>
        <w:autoSpaceDN w:val="0"/>
        <w:adjustRightInd w:val="0"/>
        <w:spacing w:after="0" w:line="240" w:lineRule="auto"/>
        <w:rPr>
          <w:rFonts w:cs="Arial"/>
        </w:rPr>
      </w:pPr>
    </w:p>
    <w:p w14:paraId="266FD4F4" w14:textId="77777777" w:rsidR="00912F3C" w:rsidRPr="00912F3C" w:rsidRDefault="00912F3C" w:rsidP="00912F3C">
      <w:pPr>
        <w:rPr>
          <w:rFonts w:cs="Arial"/>
        </w:rPr>
      </w:pPr>
    </w:p>
    <w:p w14:paraId="2B495A67" w14:textId="77777777" w:rsidR="00912F3C" w:rsidRPr="00912F3C" w:rsidRDefault="00912F3C" w:rsidP="00912F3C">
      <w:pPr>
        <w:rPr>
          <w:rFonts w:cs="Arial"/>
        </w:rPr>
      </w:pPr>
    </w:p>
    <w:p w14:paraId="381DD904" w14:textId="77777777" w:rsidR="00912F3C" w:rsidRPr="00912F3C" w:rsidRDefault="00912F3C" w:rsidP="00912F3C">
      <w:pPr>
        <w:rPr>
          <w:rFonts w:cs="Arial"/>
        </w:rPr>
      </w:pPr>
    </w:p>
    <w:p w14:paraId="6C1B3FBF" w14:textId="77777777" w:rsidR="00912F3C" w:rsidRPr="00912F3C" w:rsidRDefault="00912F3C" w:rsidP="00912F3C">
      <w:pPr>
        <w:rPr>
          <w:rFonts w:cs="Arial"/>
        </w:rPr>
      </w:pPr>
    </w:p>
    <w:p w14:paraId="6C6985A9" w14:textId="77777777" w:rsidR="00912F3C" w:rsidRPr="00912F3C" w:rsidRDefault="00912F3C" w:rsidP="00912F3C">
      <w:pPr>
        <w:rPr>
          <w:rFonts w:cs="Arial"/>
        </w:rPr>
      </w:pPr>
    </w:p>
    <w:p w14:paraId="2739873A" w14:textId="77777777" w:rsidR="00912F3C" w:rsidRPr="00912F3C" w:rsidRDefault="00912F3C" w:rsidP="00912F3C">
      <w:pPr>
        <w:rPr>
          <w:rFonts w:cs="Arial"/>
        </w:rPr>
      </w:pPr>
    </w:p>
    <w:p w14:paraId="65058606" w14:textId="77777777" w:rsidR="00912F3C" w:rsidRPr="00912F3C" w:rsidRDefault="00912F3C" w:rsidP="00912F3C">
      <w:pPr>
        <w:rPr>
          <w:rFonts w:cs="Arial"/>
        </w:rPr>
      </w:pPr>
    </w:p>
    <w:p w14:paraId="1FF378BC" w14:textId="77777777" w:rsidR="00912F3C" w:rsidRPr="00912F3C" w:rsidRDefault="00912F3C" w:rsidP="00912F3C">
      <w:pPr>
        <w:rPr>
          <w:rFonts w:cs="Arial"/>
        </w:rPr>
      </w:pPr>
    </w:p>
    <w:p w14:paraId="5A6B94FE" w14:textId="77777777" w:rsidR="00912F3C" w:rsidRPr="00912F3C" w:rsidRDefault="00912F3C" w:rsidP="00912F3C">
      <w:pPr>
        <w:rPr>
          <w:rFonts w:cs="Arial"/>
        </w:rPr>
      </w:pPr>
    </w:p>
    <w:p w14:paraId="6C3FC629" w14:textId="77777777" w:rsidR="00912F3C" w:rsidRPr="00912F3C" w:rsidRDefault="00912F3C" w:rsidP="00912F3C">
      <w:pPr>
        <w:rPr>
          <w:rFonts w:cs="Arial"/>
        </w:rPr>
      </w:pPr>
    </w:p>
    <w:p w14:paraId="65A216B1" w14:textId="77777777" w:rsidR="00912F3C" w:rsidRPr="00912F3C" w:rsidRDefault="00912F3C" w:rsidP="00912F3C">
      <w:pPr>
        <w:rPr>
          <w:rFonts w:cs="Arial"/>
        </w:rPr>
      </w:pPr>
    </w:p>
    <w:p w14:paraId="164D71A0" w14:textId="77777777" w:rsidR="00912F3C" w:rsidRPr="00912F3C" w:rsidRDefault="00912F3C" w:rsidP="00912F3C">
      <w:pPr>
        <w:rPr>
          <w:rFonts w:cs="Arial"/>
        </w:rPr>
      </w:pPr>
    </w:p>
    <w:p w14:paraId="340CBB20" w14:textId="77777777" w:rsidR="00912F3C" w:rsidRPr="00912F3C" w:rsidRDefault="00912F3C" w:rsidP="00912F3C">
      <w:pPr>
        <w:rPr>
          <w:rFonts w:cs="Arial"/>
        </w:rPr>
      </w:pPr>
    </w:p>
    <w:p w14:paraId="677396B6" w14:textId="77777777" w:rsidR="00912F3C" w:rsidRPr="00912F3C" w:rsidRDefault="00912F3C" w:rsidP="00912F3C">
      <w:pPr>
        <w:rPr>
          <w:rFonts w:cs="Arial"/>
        </w:rPr>
      </w:pPr>
    </w:p>
    <w:p w14:paraId="5869A705" w14:textId="77777777" w:rsidR="00912F3C" w:rsidRPr="00912F3C" w:rsidRDefault="00912F3C" w:rsidP="00912F3C">
      <w:pPr>
        <w:rPr>
          <w:rFonts w:cs="Arial"/>
        </w:rPr>
      </w:pPr>
    </w:p>
    <w:p w14:paraId="68396206" w14:textId="77777777" w:rsidR="00912F3C" w:rsidRPr="00912F3C" w:rsidRDefault="00912F3C" w:rsidP="00912F3C">
      <w:pPr>
        <w:rPr>
          <w:rFonts w:cs="Arial"/>
        </w:rPr>
      </w:pPr>
    </w:p>
    <w:p w14:paraId="7C728001" w14:textId="77777777" w:rsidR="00912F3C" w:rsidRPr="00912F3C" w:rsidRDefault="00912F3C" w:rsidP="00912F3C">
      <w:pPr>
        <w:rPr>
          <w:rFonts w:cs="Arial"/>
        </w:rPr>
      </w:pPr>
    </w:p>
    <w:p w14:paraId="4FA5A1EB" w14:textId="77777777" w:rsidR="001A54ED" w:rsidRPr="001B0650" w:rsidRDefault="00C944A7" w:rsidP="001A54ED">
      <w:pPr>
        <w:pStyle w:val="Default"/>
        <w:pageBreakBefore/>
        <w:rPr>
          <w:rFonts w:asciiTheme="minorHAnsi" w:hAnsiTheme="minorHAnsi"/>
          <w:color w:val="auto"/>
          <w:sz w:val="22"/>
          <w:szCs w:val="22"/>
        </w:rPr>
      </w:pPr>
      <w:r>
        <w:rPr>
          <w:rFonts w:asciiTheme="minorHAnsi" w:hAnsiTheme="minorHAnsi"/>
          <w:b/>
          <w:bCs/>
          <w:color w:val="auto"/>
          <w:sz w:val="22"/>
          <w:szCs w:val="22"/>
        </w:rPr>
        <w:lastRenderedPageBreak/>
        <w:t>A</w:t>
      </w:r>
      <w:r w:rsidR="001A54ED" w:rsidRPr="001B0650">
        <w:rPr>
          <w:rFonts w:asciiTheme="minorHAnsi" w:hAnsiTheme="minorHAnsi"/>
          <w:b/>
          <w:bCs/>
          <w:color w:val="auto"/>
          <w:sz w:val="22"/>
          <w:szCs w:val="22"/>
        </w:rPr>
        <w:t xml:space="preserve">nnex 1 - Schedule of Charges for use of the Distribution System by LV and HV Designated Properties </w:t>
      </w:r>
    </w:p>
    <w:p w14:paraId="2041A271" w14:textId="77777777" w:rsidR="00912F3C" w:rsidRDefault="00912F3C" w:rsidP="001A54ED">
      <w:pPr>
        <w:pStyle w:val="Default"/>
        <w:rPr>
          <w:rFonts w:asciiTheme="minorHAnsi" w:hAnsiTheme="minorHAnsi"/>
          <w:b/>
          <w:bCs/>
          <w:color w:val="auto"/>
          <w:sz w:val="22"/>
          <w:szCs w:val="22"/>
        </w:rPr>
      </w:pPr>
    </w:p>
    <w:p w14:paraId="11019C60" w14:textId="77777777"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2 - Schedule of Charges for use of the Distribution System by Designated EHV Properties (including LDNOs with Designated EHV Properties/end-users). </w:t>
      </w:r>
    </w:p>
    <w:p w14:paraId="05D8C1C1" w14:textId="77777777" w:rsidR="001A54ED" w:rsidRPr="001B0650" w:rsidRDefault="001B0650" w:rsidP="001A54ED">
      <w:pPr>
        <w:pStyle w:val="Default"/>
        <w:rPr>
          <w:rFonts w:asciiTheme="minorHAnsi" w:hAnsiTheme="minorHAnsi"/>
          <w:color w:val="auto"/>
          <w:sz w:val="22"/>
          <w:szCs w:val="22"/>
        </w:rPr>
      </w:pPr>
      <w:r>
        <w:rPr>
          <w:rFonts w:asciiTheme="minorHAnsi" w:hAnsiTheme="minorHAnsi"/>
          <w:color w:val="auto"/>
          <w:sz w:val="22"/>
          <w:szCs w:val="22"/>
        </w:rPr>
        <w:t>HARL</w:t>
      </w:r>
      <w:r w:rsidR="001A54ED" w:rsidRPr="001B0650">
        <w:rPr>
          <w:rFonts w:asciiTheme="minorHAnsi" w:hAnsiTheme="minorHAnsi"/>
          <w:color w:val="auto"/>
          <w:sz w:val="22"/>
          <w:szCs w:val="22"/>
        </w:rPr>
        <w:t xml:space="preserve"> does not have any customers connected at EHV at this time. </w:t>
      </w:r>
    </w:p>
    <w:p w14:paraId="678DC966" w14:textId="77777777" w:rsidR="00912F3C" w:rsidRDefault="00912F3C" w:rsidP="001A54ED">
      <w:pPr>
        <w:pStyle w:val="Default"/>
        <w:rPr>
          <w:rFonts w:asciiTheme="minorHAnsi" w:hAnsiTheme="minorHAnsi"/>
          <w:b/>
          <w:bCs/>
          <w:color w:val="auto"/>
          <w:sz w:val="22"/>
          <w:szCs w:val="22"/>
        </w:rPr>
      </w:pPr>
    </w:p>
    <w:p w14:paraId="4574486A" w14:textId="77777777"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3 - Schedule of Charges for use of the Distribution System to Preserved/Additional LLFC Classes </w:t>
      </w:r>
    </w:p>
    <w:p w14:paraId="190AD5BD" w14:textId="77777777" w:rsidR="001A54ED" w:rsidRPr="001B0650" w:rsidRDefault="001B0650" w:rsidP="001A54ED">
      <w:pPr>
        <w:pStyle w:val="Default"/>
        <w:rPr>
          <w:rFonts w:asciiTheme="minorHAnsi" w:hAnsiTheme="minorHAnsi"/>
          <w:color w:val="auto"/>
          <w:sz w:val="22"/>
          <w:szCs w:val="22"/>
        </w:rPr>
      </w:pPr>
      <w:r>
        <w:rPr>
          <w:rFonts w:asciiTheme="minorHAnsi" w:hAnsiTheme="minorHAnsi"/>
          <w:color w:val="auto"/>
          <w:sz w:val="22"/>
          <w:szCs w:val="22"/>
        </w:rPr>
        <w:t>HARL</w:t>
      </w:r>
      <w:r w:rsidR="001A54ED" w:rsidRPr="001B0650">
        <w:rPr>
          <w:rFonts w:asciiTheme="minorHAnsi" w:hAnsiTheme="minorHAnsi"/>
          <w:color w:val="auto"/>
          <w:sz w:val="22"/>
          <w:szCs w:val="22"/>
        </w:rPr>
        <w:t xml:space="preserve"> does not have any customers on preserved tariffs. </w:t>
      </w:r>
    </w:p>
    <w:p w14:paraId="4FB67539" w14:textId="77777777" w:rsidR="00912F3C" w:rsidRDefault="00912F3C" w:rsidP="001A54ED">
      <w:pPr>
        <w:pStyle w:val="Default"/>
        <w:rPr>
          <w:rFonts w:asciiTheme="minorHAnsi" w:hAnsiTheme="minorHAnsi"/>
          <w:b/>
          <w:bCs/>
          <w:color w:val="auto"/>
          <w:sz w:val="22"/>
          <w:szCs w:val="22"/>
        </w:rPr>
      </w:pPr>
    </w:p>
    <w:p w14:paraId="25BBE313" w14:textId="77777777"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4 - Charges applied to LDNOs with HV/LV end users </w:t>
      </w:r>
    </w:p>
    <w:p w14:paraId="340321CD" w14:textId="77777777" w:rsidR="00912F3C" w:rsidRDefault="00912F3C" w:rsidP="001A54ED">
      <w:pPr>
        <w:pStyle w:val="Default"/>
        <w:rPr>
          <w:rFonts w:asciiTheme="minorHAnsi" w:hAnsiTheme="minorHAnsi"/>
          <w:b/>
          <w:bCs/>
          <w:color w:val="auto"/>
          <w:sz w:val="22"/>
          <w:szCs w:val="22"/>
        </w:rPr>
      </w:pPr>
    </w:p>
    <w:p w14:paraId="77347D67" w14:textId="77777777"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5 – Schedule of Line Loss Factors </w:t>
      </w:r>
    </w:p>
    <w:p w14:paraId="33BBC0A5" w14:textId="77777777" w:rsidR="00912F3C" w:rsidRDefault="00912F3C" w:rsidP="001A54ED">
      <w:pPr>
        <w:pStyle w:val="Default"/>
        <w:rPr>
          <w:rFonts w:asciiTheme="minorHAnsi" w:hAnsiTheme="minorHAnsi"/>
          <w:b/>
          <w:bCs/>
          <w:color w:val="auto"/>
          <w:sz w:val="22"/>
          <w:szCs w:val="22"/>
        </w:rPr>
      </w:pPr>
    </w:p>
    <w:p w14:paraId="44DA46E5" w14:textId="77777777" w:rsidR="001A54ED" w:rsidRPr="001B0650" w:rsidRDefault="001A54ED" w:rsidP="001A54ED">
      <w:pPr>
        <w:pStyle w:val="Default"/>
        <w:rPr>
          <w:rFonts w:asciiTheme="minorHAnsi" w:hAnsiTheme="minorHAnsi"/>
          <w:color w:val="auto"/>
          <w:sz w:val="22"/>
          <w:szCs w:val="22"/>
        </w:rPr>
      </w:pPr>
      <w:r w:rsidRPr="001B0650">
        <w:rPr>
          <w:rFonts w:asciiTheme="minorHAnsi" w:hAnsiTheme="minorHAnsi"/>
          <w:b/>
          <w:bCs/>
          <w:color w:val="auto"/>
          <w:sz w:val="22"/>
          <w:szCs w:val="22"/>
        </w:rPr>
        <w:t xml:space="preserve">Annex 6 - Un-scaled [nodal /network group] costs </w:t>
      </w:r>
    </w:p>
    <w:p w14:paraId="04DE8793" w14:textId="77777777" w:rsidR="00912F3C" w:rsidRDefault="00912F3C" w:rsidP="001A54ED">
      <w:pPr>
        <w:pStyle w:val="Default"/>
        <w:rPr>
          <w:rFonts w:asciiTheme="minorHAnsi" w:hAnsiTheme="minorHAnsi"/>
          <w:color w:val="auto"/>
          <w:sz w:val="22"/>
          <w:szCs w:val="22"/>
        </w:rPr>
      </w:pPr>
    </w:p>
    <w:p w14:paraId="6803D7B5" w14:textId="77777777" w:rsidR="001A54ED" w:rsidRDefault="001B0650" w:rsidP="001A54ED">
      <w:pPr>
        <w:pStyle w:val="Default"/>
        <w:rPr>
          <w:rFonts w:asciiTheme="minorHAnsi" w:hAnsiTheme="minorHAnsi"/>
          <w:color w:val="auto"/>
          <w:sz w:val="22"/>
          <w:szCs w:val="22"/>
        </w:rPr>
      </w:pPr>
      <w:r>
        <w:rPr>
          <w:rFonts w:asciiTheme="minorHAnsi" w:hAnsiTheme="minorHAnsi"/>
          <w:color w:val="auto"/>
          <w:sz w:val="22"/>
          <w:szCs w:val="22"/>
        </w:rPr>
        <w:t>As HARL</w:t>
      </w:r>
      <w:r w:rsidR="001A54ED" w:rsidRPr="001B0650">
        <w:rPr>
          <w:rFonts w:asciiTheme="minorHAnsi" w:hAnsiTheme="minorHAnsi"/>
          <w:color w:val="auto"/>
          <w:sz w:val="22"/>
          <w:szCs w:val="22"/>
        </w:rPr>
        <w:t xml:space="preserve"> operates across all DNO areas, spreadsheets for the Annexes detailed above have been created for each DNO area, and are available to do</w:t>
      </w:r>
      <w:r>
        <w:rPr>
          <w:rFonts w:asciiTheme="minorHAnsi" w:hAnsiTheme="minorHAnsi"/>
          <w:color w:val="auto"/>
          <w:sz w:val="22"/>
          <w:szCs w:val="22"/>
        </w:rPr>
        <w:t>wnload from http://www.harlaxtonenergynetworks.com.</w:t>
      </w:r>
      <w:r w:rsidR="001A54ED" w:rsidRPr="001B0650">
        <w:rPr>
          <w:rFonts w:asciiTheme="minorHAnsi" w:hAnsiTheme="minorHAnsi"/>
          <w:color w:val="auto"/>
          <w:sz w:val="22"/>
          <w:szCs w:val="22"/>
        </w:rPr>
        <w:t xml:space="preserve"> This document is also available by contacting us at the address in </w:t>
      </w:r>
      <w:r>
        <w:rPr>
          <w:rFonts w:asciiTheme="minorHAnsi" w:hAnsiTheme="minorHAnsi"/>
          <w:color w:val="auto"/>
          <w:sz w:val="22"/>
          <w:szCs w:val="22"/>
        </w:rPr>
        <w:t>this document.</w:t>
      </w:r>
    </w:p>
    <w:p w14:paraId="76773BA1" w14:textId="77777777" w:rsidR="00E9365A" w:rsidRDefault="00E9365A" w:rsidP="001A54ED">
      <w:pPr>
        <w:pStyle w:val="Default"/>
        <w:rPr>
          <w:rFonts w:asciiTheme="minorHAnsi" w:hAnsiTheme="minorHAnsi"/>
          <w:color w:val="auto"/>
          <w:sz w:val="22"/>
          <w:szCs w:val="22"/>
        </w:rPr>
      </w:pPr>
    </w:p>
    <w:p w14:paraId="57377983" w14:textId="77777777" w:rsidR="00E9365A" w:rsidRDefault="00E9365A" w:rsidP="001A54ED">
      <w:pPr>
        <w:pStyle w:val="Default"/>
        <w:rPr>
          <w:rFonts w:asciiTheme="minorHAnsi" w:hAnsiTheme="minorHAnsi"/>
          <w:color w:val="auto"/>
          <w:sz w:val="22"/>
          <w:szCs w:val="22"/>
        </w:rPr>
      </w:pPr>
    </w:p>
    <w:p w14:paraId="063D7155" w14:textId="77777777" w:rsidR="00E9365A" w:rsidRDefault="00E9365A" w:rsidP="001A54ED">
      <w:pPr>
        <w:pStyle w:val="Default"/>
        <w:rPr>
          <w:rFonts w:asciiTheme="minorHAnsi" w:hAnsiTheme="minorHAnsi"/>
          <w:color w:val="auto"/>
          <w:sz w:val="22"/>
          <w:szCs w:val="22"/>
        </w:rPr>
      </w:pPr>
    </w:p>
    <w:p w14:paraId="7E317C14" w14:textId="77777777" w:rsidR="00E9365A" w:rsidRPr="00E9365A" w:rsidRDefault="00E9365A" w:rsidP="00E9365A">
      <w:pPr>
        <w:pStyle w:val="Default"/>
        <w:jc w:val="center"/>
        <w:rPr>
          <w:rFonts w:asciiTheme="minorHAnsi" w:hAnsiTheme="minorHAnsi"/>
          <w:b/>
          <w:color w:val="auto"/>
          <w:sz w:val="22"/>
          <w:szCs w:val="22"/>
          <w:u w:val="single"/>
        </w:rPr>
      </w:pPr>
      <w:r w:rsidRPr="00E9365A">
        <w:rPr>
          <w:rFonts w:asciiTheme="minorHAnsi" w:hAnsiTheme="minorHAnsi"/>
          <w:b/>
          <w:color w:val="auto"/>
          <w:sz w:val="22"/>
          <w:szCs w:val="22"/>
          <w:u w:val="single"/>
        </w:rPr>
        <w:t>END OF DOCUMENT</w:t>
      </w:r>
    </w:p>
    <w:sectPr w:rsidR="00E9365A" w:rsidRPr="00E9365A" w:rsidSect="00E811B3">
      <w:headerReference w:type="default"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98ADE6" w14:textId="77777777" w:rsidR="00417461" w:rsidRDefault="00417461" w:rsidP="00EC407D">
      <w:pPr>
        <w:spacing w:after="0" w:line="240" w:lineRule="auto"/>
      </w:pPr>
      <w:r>
        <w:separator/>
      </w:r>
    </w:p>
  </w:endnote>
  <w:endnote w:type="continuationSeparator" w:id="0">
    <w:p w14:paraId="185B5153" w14:textId="77777777" w:rsidR="00417461" w:rsidRDefault="00417461" w:rsidP="00EC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Bold">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12720" w14:textId="12A62F93" w:rsidR="00417461" w:rsidRPr="008D0F41" w:rsidRDefault="00417461" w:rsidP="008D0F41">
    <w:pPr>
      <w:autoSpaceDE w:val="0"/>
      <w:autoSpaceDN w:val="0"/>
      <w:adjustRightInd w:val="0"/>
      <w:spacing w:after="0" w:line="240" w:lineRule="auto"/>
      <w:jc w:val="center"/>
      <w:rPr>
        <w:rFonts w:ascii="Helvetica-Bold" w:hAnsi="Helvetica-Bold" w:cs="Helvetica-Bold"/>
        <w:b/>
        <w:bCs/>
        <w:color w:val="000000"/>
        <w:sz w:val="16"/>
        <w:szCs w:val="20"/>
      </w:rPr>
    </w:pPr>
    <w:r w:rsidRPr="008D0F41">
      <w:rPr>
        <w:rFonts w:ascii="Helvetica-Bold" w:hAnsi="Helvetica-Bold" w:cs="Helvetica-Bold"/>
        <w:b/>
        <w:bCs/>
        <w:color w:val="000000"/>
        <w:sz w:val="16"/>
        <w:szCs w:val="20"/>
      </w:rPr>
      <w:t>Harlaxton Energy Networks Limited – Use of System Charging Statement</w:t>
    </w:r>
    <w:r>
      <w:rPr>
        <w:rFonts w:ascii="Helvetica-Bold" w:hAnsi="Helvetica-Bold" w:cs="Helvetica-Bold"/>
        <w:b/>
        <w:bCs/>
        <w:color w:val="000000"/>
        <w:sz w:val="16"/>
        <w:szCs w:val="20"/>
      </w:rPr>
      <w:t xml:space="preserve"> – 1</w:t>
    </w:r>
    <w:r w:rsidRPr="00635D39">
      <w:rPr>
        <w:rFonts w:ascii="Helvetica-Bold" w:hAnsi="Helvetica-Bold" w:cs="Helvetica-Bold"/>
        <w:b/>
        <w:bCs/>
        <w:color w:val="000000"/>
        <w:sz w:val="16"/>
        <w:szCs w:val="20"/>
        <w:vertAlign w:val="superscript"/>
      </w:rPr>
      <w:t>st</w:t>
    </w:r>
    <w:r>
      <w:rPr>
        <w:rFonts w:ascii="Helvetica-Bold" w:hAnsi="Helvetica-Bold" w:cs="Helvetica-Bold"/>
        <w:b/>
        <w:bCs/>
        <w:color w:val="000000"/>
        <w:sz w:val="16"/>
        <w:szCs w:val="20"/>
      </w:rPr>
      <w:t xml:space="preserve"> October 2015</w:t>
    </w:r>
  </w:p>
  <w:p w14:paraId="2986D64F" w14:textId="77777777" w:rsidR="00417461" w:rsidRDefault="00417461" w:rsidP="008D0F4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5FFC8" w14:textId="7E014F8D" w:rsidR="00417461" w:rsidRDefault="00EB608A">
    <w:pPr>
      <w:pStyle w:val="Footer"/>
    </w:pPr>
    <w:r>
      <w:rPr>
        <w:noProof/>
        <w:lang w:eastAsia="en-GB"/>
      </w:rPr>
      <w:drawing>
        <wp:inline distT="0" distB="0" distL="0" distR="0" wp14:anchorId="4313E737" wp14:editId="3C4D56A2">
          <wp:extent cx="6636385" cy="40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6385"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1AE66" w14:textId="77777777" w:rsidR="00417461" w:rsidRDefault="00417461" w:rsidP="00EC407D">
      <w:pPr>
        <w:spacing w:after="0" w:line="240" w:lineRule="auto"/>
      </w:pPr>
      <w:r>
        <w:separator/>
      </w:r>
    </w:p>
  </w:footnote>
  <w:footnote w:type="continuationSeparator" w:id="0">
    <w:p w14:paraId="76086680" w14:textId="77777777" w:rsidR="00417461" w:rsidRDefault="00417461" w:rsidP="00EC407D">
      <w:pPr>
        <w:spacing w:after="0" w:line="240" w:lineRule="auto"/>
      </w:pPr>
      <w:r>
        <w:continuationSeparator/>
      </w:r>
    </w:p>
  </w:footnote>
  <w:footnote w:id="1">
    <w:p w14:paraId="5226302D" w14:textId="77777777" w:rsidR="00417461" w:rsidRDefault="00417461" w:rsidP="005073C3">
      <w:pPr>
        <w:autoSpaceDE w:val="0"/>
        <w:autoSpaceDN w:val="0"/>
        <w:adjustRightInd w:val="0"/>
        <w:spacing w:after="0" w:line="240" w:lineRule="auto"/>
      </w:pPr>
      <w:r>
        <w:rPr>
          <w:rStyle w:val="FootnoteReference"/>
        </w:rPr>
        <w:footnoteRef/>
      </w:r>
      <w:r>
        <w:t xml:space="preserve"> </w:t>
      </w:r>
      <w:r w:rsidRPr="00CD6D42">
        <w:rPr>
          <w:rFonts w:cs="Tahoma"/>
          <w:color w:val="000000"/>
          <w:sz w:val="16"/>
          <w:szCs w:val="16"/>
        </w:rPr>
        <w:t>Charg</w:t>
      </w:r>
      <w:r>
        <w:rPr>
          <w:rFonts w:cs="Tahoma"/>
          <w:color w:val="000000"/>
          <w:sz w:val="16"/>
          <w:szCs w:val="16"/>
        </w:rPr>
        <w:t>es can be positive or negative.</w:t>
      </w:r>
    </w:p>
  </w:footnote>
  <w:footnote w:id="2">
    <w:p w14:paraId="1E1309D6" w14:textId="77777777" w:rsidR="00417461" w:rsidRDefault="00417461" w:rsidP="008930F1">
      <w:pPr>
        <w:pStyle w:val="FootnoteText"/>
      </w:pPr>
      <w:r>
        <w:rPr>
          <w:rStyle w:val="FootnoteReference"/>
        </w:rPr>
        <w:footnoteRef/>
      </w:r>
      <w:r>
        <w:t xml:space="preserve"> </w:t>
      </w:r>
      <w:r w:rsidRPr="008930F1">
        <w:rPr>
          <w:sz w:val="16"/>
        </w:rPr>
        <w:t>Also known as Loss Adjustment Factors or Line Loss Factors</w:t>
      </w:r>
    </w:p>
  </w:footnote>
  <w:footnote w:id="3">
    <w:p w14:paraId="5B6D2843" w14:textId="77777777" w:rsidR="00417461" w:rsidRDefault="00417461" w:rsidP="008930F1">
      <w:pPr>
        <w:pStyle w:val="FootnoteText"/>
        <w:ind w:left="-57" w:right="-57"/>
      </w:pPr>
      <w:r>
        <w:rPr>
          <w:rStyle w:val="FootnoteReference"/>
        </w:rPr>
        <w:footnoteRef/>
      </w:r>
      <w:r>
        <w:t xml:space="preserve"> </w:t>
      </w:r>
      <w:r w:rsidRPr="00A067B0">
        <w:rPr>
          <w:rFonts w:ascii="Book Antiqua" w:hAnsi="Book Antiqua" w:cs="Helvetica"/>
          <w:sz w:val="16"/>
          <w:szCs w:val="16"/>
        </w:rPr>
        <w:t xml:space="preserve">The Electricity (Unmetered Supply) Regulations 2001 available from </w:t>
      </w:r>
      <w:hyperlink r:id="rId1" w:history="1">
        <w:r w:rsidRPr="00A067B0">
          <w:rPr>
            <w:rStyle w:val="Hyperlink"/>
            <w:rFonts w:ascii="Book Antiqua" w:hAnsi="Book Antiqua" w:cs="Helvetica"/>
            <w:color w:val="auto"/>
            <w:sz w:val="16"/>
            <w:szCs w:val="16"/>
          </w:rPr>
          <w:t>http://www.legislation.gov.uk/uksi/2001/3263/made</w:t>
        </w:r>
      </w:hyperlink>
    </w:p>
  </w:footnote>
  <w:footnote w:id="4">
    <w:p w14:paraId="05AE8429" w14:textId="77777777" w:rsidR="00417461" w:rsidRDefault="00417461" w:rsidP="008930F1">
      <w:pPr>
        <w:autoSpaceDE w:val="0"/>
        <w:autoSpaceDN w:val="0"/>
        <w:adjustRightInd w:val="0"/>
        <w:spacing w:after="0" w:line="240" w:lineRule="auto"/>
        <w:ind w:left="-57" w:right="-57"/>
      </w:pPr>
      <w:r>
        <w:rPr>
          <w:rStyle w:val="FootnoteReference"/>
        </w:rPr>
        <w:footnoteRef/>
      </w:r>
      <w:r>
        <w:t xml:space="preserve"> </w:t>
      </w:r>
      <w:r w:rsidRPr="00A067B0">
        <w:rPr>
          <w:rFonts w:ascii="Book Antiqua" w:hAnsi="Book Antiqua" w:cs="Times-Roman"/>
          <w:sz w:val="16"/>
          <w:szCs w:val="16"/>
        </w:rPr>
        <w:t>Balancing and Settlement Code Procedures on unmetered supplies av</w:t>
      </w:r>
      <w:r w:rsidRPr="00A067B0">
        <w:rPr>
          <w:rFonts w:ascii="Book Antiqua" w:hAnsi="Book Antiqua" w:cs="Helvetica"/>
          <w:sz w:val="16"/>
          <w:szCs w:val="16"/>
        </w:rPr>
        <w:t xml:space="preserve">ailable from </w:t>
      </w:r>
      <w:hyperlink r:id="rId2" w:history="1">
        <w:r w:rsidRPr="00A067B0">
          <w:rPr>
            <w:rStyle w:val="Hyperlink"/>
            <w:rFonts w:ascii="Book Antiqua" w:hAnsi="Book Antiqua" w:cs="Helvetica"/>
            <w:color w:val="auto"/>
            <w:sz w:val="16"/>
            <w:szCs w:val="16"/>
          </w:rPr>
          <w:t>http://www.</w:t>
        </w:r>
      </w:hyperlink>
      <w:r w:rsidRPr="00A067B0">
        <w:rPr>
          <w:rStyle w:val="Hyperlink"/>
          <w:rFonts w:ascii="Book Antiqua" w:hAnsi="Book Antiqua" w:cs="Helvetica"/>
          <w:color w:val="auto"/>
          <w:sz w:val="16"/>
          <w:szCs w:val="16"/>
        </w:rPr>
        <w:t>elexon.co.uk/pages/bscps.aspx</w:t>
      </w:r>
    </w:p>
  </w:footnote>
  <w:footnote w:id="5">
    <w:p w14:paraId="05FBD002" w14:textId="77777777" w:rsidR="00417461" w:rsidRDefault="00417461">
      <w:pPr>
        <w:pStyle w:val="FootnoteText"/>
      </w:pPr>
      <w:r>
        <w:rPr>
          <w:rStyle w:val="FootnoteReference"/>
        </w:rPr>
        <w:footnoteRef/>
      </w:r>
      <w:r>
        <w:t xml:space="preserve"> </w:t>
      </w:r>
      <w:r w:rsidRPr="00703854">
        <w:rPr>
          <w:rFonts w:ascii="Book Antiqua" w:hAnsi="Book Antiqua" w:cs="Helvetica"/>
          <w:sz w:val="16"/>
          <w:szCs w:val="16"/>
        </w:rPr>
        <w:t xml:space="preserve">The Electricity (Unmetered Supply) Regulations 2001 available from </w:t>
      </w:r>
      <w:hyperlink r:id="rId3" w:history="1">
        <w:r w:rsidRPr="00703854">
          <w:rPr>
            <w:rStyle w:val="Hyperlink"/>
            <w:rFonts w:ascii="Book Antiqua" w:hAnsi="Book Antiqua" w:cs="Helvetica"/>
            <w:color w:val="auto"/>
            <w:sz w:val="16"/>
            <w:szCs w:val="16"/>
          </w:rPr>
          <w:t>http://www.legislation.gov.uk/uksi/2001/3263/made</w:t>
        </w:r>
      </w:hyperlink>
    </w:p>
  </w:footnote>
  <w:footnote w:id="6">
    <w:p w14:paraId="28678963" w14:textId="77777777" w:rsidR="00417461" w:rsidRPr="00703854" w:rsidRDefault="00417461" w:rsidP="00EF3EB1">
      <w:pPr>
        <w:autoSpaceDE w:val="0"/>
        <w:autoSpaceDN w:val="0"/>
        <w:adjustRightInd w:val="0"/>
        <w:spacing w:after="0" w:line="240" w:lineRule="auto"/>
        <w:rPr>
          <w:rFonts w:ascii="Book Antiqua" w:hAnsi="Book Antiqua" w:cs="Helvetica"/>
          <w:sz w:val="16"/>
          <w:szCs w:val="16"/>
          <w:u w:val="single"/>
        </w:rPr>
      </w:pPr>
      <w:r>
        <w:rPr>
          <w:rStyle w:val="FootnoteReference"/>
        </w:rPr>
        <w:footnoteRef/>
      </w:r>
      <w:r>
        <w:t xml:space="preserve"> </w:t>
      </w:r>
      <w:r w:rsidRPr="00703854">
        <w:rPr>
          <w:rFonts w:ascii="Book Antiqua" w:hAnsi="Book Antiqua" w:cs="Helvetica"/>
          <w:sz w:val="16"/>
          <w:szCs w:val="16"/>
        </w:rPr>
        <w:t xml:space="preserve">Balancing and Settlement Code Procedures on unmetered supplies and available from </w:t>
      </w:r>
      <w:r w:rsidRPr="00703854">
        <w:rPr>
          <w:rFonts w:ascii="Book Antiqua" w:hAnsi="Book Antiqua" w:cs="Helvetica"/>
          <w:sz w:val="16"/>
          <w:szCs w:val="16"/>
          <w:u w:val="single"/>
        </w:rPr>
        <w:t>http://www.elexon.co.uk/pages/bscps.aspx</w:t>
      </w:r>
    </w:p>
    <w:p w14:paraId="270E5855" w14:textId="77777777" w:rsidR="00417461" w:rsidRDefault="00417461">
      <w:pPr>
        <w:pStyle w:val="FootnoteText"/>
      </w:pPr>
    </w:p>
  </w:footnote>
  <w:footnote w:id="7">
    <w:p w14:paraId="6C5F85A6" w14:textId="77777777" w:rsidR="00417461" w:rsidRPr="00EF3EB1" w:rsidRDefault="00417461">
      <w:pPr>
        <w:pStyle w:val="FootnoteText"/>
        <w:rPr>
          <w:rFonts w:ascii="Book Antiqua" w:hAnsi="Book Antiqua"/>
          <w:sz w:val="16"/>
          <w:szCs w:val="16"/>
        </w:rPr>
      </w:pPr>
      <w:r>
        <w:rPr>
          <w:rStyle w:val="FootnoteReference"/>
        </w:rPr>
        <w:footnoteRef/>
      </w:r>
      <w:r>
        <w:t xml:space="preserve"> </w:t>
      </w:r>
      <w:r w:rsidRPr="00A067B0">
        <w:rPr>
          <w:rFonts w:ascii="Book Antiqua" w:hAnsi="Book Antiqua" w:cs="Helvetica"/>
          <w:sz w:val="16"/>
          <w:szCs w:val="16"/>
        </w:rPr>
        <w:t xml:space="preserve">Energy can be lost for technical and non-technical reasons and losses normally occur by heat dissipation through power flowing in conductors and transformers. Losses can also reduce if a customer’s action reduces power flowing in the distribution network. This might happen when a </w:t>
      </w:r>
      <w:r w:rsidRPr="00EF3EB1">
        <w:rPr>
          <w:rFonts w:ascii="Book Antiqua" w:hAnsi="Book Antiqua" w:cs="Helvetica"/>
          <w:sz w:val="16"/>
          <w:szCs w:val="16"/>
        </w:rPr>
        <w:t>customer generates electricity and the produced energy is consumed locally.</w:t>
      </w:r>
    </w:p>
  </w:footnote>
  <w:footnote w:id="8">
    <w:p w14:paraId="27972A2A" w14:textId="77777777" w:rsidR="00417461" w:rsidRDefault="00417461">
      <w:pPr>
        <w:pStyle w:val="FootnoteText"/>
      </w:pPr>
      <w:r w:rsidRPr="00EF3EB1">
        <w:rPr>
          <w:rStyle w:val="FootnoteReference"/>
          <w:rFonts w:ascii="Book Antiqua" w:hAnsi="Book Antiqua"/>
          <w:sz w:val="16"/>
          <w:szCs w:val="16"/>
        </w:rPr>
        <w:footnoteRef/>
      </w:r>
      <w:r w:rsidRPr="00EF3EB1">
        <w:rPr>
          <w:rFonts w:ascii="Book Antiqua" w:hAnsi="Book Antiqua"/>
          <w:sz w:val="16"/>
          <w:szCs w:val="16"/>
        </w:rPr>
        <w:t xml:space="preserve"> Also referred to as Line Loss Factors</w:t>
      </w:r>
    </w:p>
  </w:footnote>
  <w:footnote w:id="9">
    <w:p w14:paraId="6D3966A5" w14:textId="77777777" w:rsidR="00417461" w:rsidRPr="00EF3EB1" w:rsidRDefault="00417461">
      <w:pPr>
        <w:pStyle w:val="FootnoteText"/>
        <w:rPr>
          <w:rFonts w:ascii="Book Antiqua" w:hAnsi="Book Antiqua"/>
        </w:rPr>
      </w:pPr>
      <w:r w:rsidRPr="00EF3EB1">
        <w:rPr>
          <w:rStyle w:val="FootnoteReference"/>
          <w:rFonts w:ascii="Book Antiqua" w:hAnsi="Book Antiqua"/>
          <w:sz w:val="16"/>
        </w:rPr>
        <w:footnoteRef/>
      </w:r>
      <w:r w:rsidRPr="00EF3EB1">
        <w:rPr>
          <w:rFonts w:ascii="Book Antiqua" w:hAnsi="Book Antiqua"/>
          <w:sz w:val="16"/>
        </w:rPr>
        <w:t xml:space="preserve"> Balancing and Settlement Code Procedures are available from http://www.elexon.co.uk/pages/bscps.aspx</w:t>
      </w:r>
    </w:p>
  </w:footnote>
  <w:footnote w:id="10">
    <w:p w14:paraId="4E23BC87" w14:textId="77777777" w:rsidR="00417461" w:rsidRPr="00EF3EB1" w:rsidRDefault="00417461">
      <w:pPr>
        <w:pStyle w:val="FootnoteText"/>
        <w:rPr>
          <w:rFonts w:ascii="Book Antiqua" w:hAnsi="Book Antiqua"/>
        </w:rPr>
      </w:pPr>
      <w:r w:rsidRPr="00EF3EB1">
        <w:rPr>
          <w:rStyle w:val="FootnoteReference"/>
          <w:rFonts w:ascii="Book Antiqua" w:hAnsi="Book Antiqua"/>
          <w:sz w:val="16"/>
        </w:rPr>
        <w:footnoteRef/>
      </w:r>
      <w:r w:rsidRPr="00EF3EB1">
        <w:rPr>
          <w:rFonts w:ascii="Book Antiqua" w:hAnsi="Book Antiqua"/>
          <w:sz w:val="16"/>
        </w:rPr>
        <w:t xml:space="preserve"> These guidance notes are provided for additional information and do not form part of the application of charges.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2F7C" w14:textId="77777777" w:rsidR="00417461" w:rsidRDefault="00417461" w:rsidP="00CD4EDF">
    <w:pPr>
      <w:autoSpaceDE w:val="0"/>
      <w:autoSpaceDN w:val="0"/>
      <w:adjustRightInd w:val="0"/>
      <w:spacing w:after="0" w:line="240" w:lineRule="auto"/>
      <w:rPr>
        <w:rFonts w:ascii="Helvetica-Bold" w:hAnsi="Helvetica-Bold" w:cs="Helvetica-Bold"/>
        <w:b/>
        <w:bCs/>
        <w:color w:val="000000"/>
        <w:sz w:val="20"/>
        <w:szCs w:val="20"/>
      </w:rPr>
    </w:pPr>
    <w:r>
      <w:rPr>
        <w:rFonts w:ascii="Helvetica-Bold" w:hAnsi="Helvetica-Bold" w:cs="Helvetica-Bold"/>
        <w:b/>
        <w:bCs/>
        <w:noProof/>
        <w:color w:val="000000"/>
        <w:sz w:val="20"/>
        <w:szCs w:val="20"/>
        <w:lang w:eastAsia="en-GB"/>
      </w:rPr>
      <w:drawing>
        <wp:anchor distT="0" distB="0" distL="114300" distR="114300" simplePos="0" relativeHeight="251659264" behindDoc="1" locked="0" layoutInCell="1" allowOverlap="1" wp14:anchorId="0C335094" wp14:editId="27A6FA3C">
          <wp:simplePos x="0" y="0"/>
          <wp:positionH relativeFrom="margin">
            <wp:posOffset>5034365</wp:posOffset>
          </wp:positionH>
          <wp:positionV relativeFrom="margin">
            <wp:posOffset>-668067</wp:posOffset>
          </wp:positionV>
          <wp:extent cx="1826260" cy="942975"/>
          <wp:effectExtent l="0" t="0" r="2540" b="9525"/>
          <wp:wrapSquare wrapText="bothSides"/>
          <wp:docPr id="213" name="Picture 213" descr="harlaxton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axton 4col"/>
                  <pic:cNvPicPr>
                    <a:picLocks noChangeAspect="1" noChangeArrowheads="1"/>
                  </pic:cNvPicPr>
                </pic:nvPicPr>
                <pic:blipFill>
                  <a:blip r:embed="rId1">
                    <a:extLst>
                      <a:ext uri="{28A0092B-C50C-407E-A947-70E740481C1C}">
                        <a14:useLocalDpi xmlns:a14="http://schemas.microsoft.com/office/drawing/2010/main" val="0"/>
                      </a:ext>
                    </a:extLst>
                  </a:blip>
                  <a:srcRect t="21729" r="12007"/>
                  <a:stretch>
                    <a:fillRect/>
                  </a:stretch>
                </pic:blipFill>
                <pic:spPr bwMode="auto">
                  <a:xfrm>
                    <a:off x="0" y="0"/>
                    <a:ext cx="182626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EDF">
      <w:rPr>
        <w:rFonts w:ascii="Helvetica-Bold" w:hAnsi="Helvetica-Bold" w:cs="Helvetica-Bold"/>
        <w:b/>
        <w:bCs/>
        <w:color w:val="000000"/>
        <w:sz w:val="20"/>
        <w:szCs w:val="20"/>
      </w:rPr>
      <w:t xml:space="preserve">Page </w:t>
    </w:r>
    <w:r w:rsidRPr="00CD4EDF">
      <w:rPr>
        <w:rFonts w:ascii="Helvetica-Bold" w:hAnsi="Helvetica-Bold" w:cs="Helvetica-Bold"/>
        <w:b/>
        <w:bCs/>
        <w:color w:val="000000"/>
        <w:sz w:val="20"/>
        <w:szCs w:val="20"/>
      </w:rPr>
      <w:fldChar w:fldCharType="begin"/>
    </w:r>
    <w:r w:rsidRPr="00CD4EDF">
      <w:rPr>
        <w:rFonts w:ascii="Helvetica-Bold" w:hAnsi="Helvetica-Bold" w:cs="Helvetica-Bold"/>
        <w:b/>
        <w:bCs/>
        <w:color w:val="000000"/>
        <w:sz w:val="20"/>
        <w:szCs w:val="20"/>
      </w:rPr>
      <w:instrText xml:space="preserve"> PAGE  \* Arabic  \* MERGEFORMAT </w:instrText>
    </w:r>
    <w:r w:rsidRPr="00CD4EDF">
      <w:rPr>
        <w:rFonts w:ascii="Helvetica-Bold" w:hAnsi="Helvetica-Bold" w:cs="Helvetica-Bold"/>
        <w:b/>
        <w:bCs/>
        <w:color w:val="000000"/>
        <w:sz w:val="20"/>
        <w:szCs w:val="20"/>
      </w:rPr>
      <w:fldChar w:fldCharType="separate"/>
    </w:r>
    <w:r w:rsidR="005737D6">
      <w:rPr>
        <w:rFonts w:ascii="Helvetica-Bold" w:hAnsi="Helvetica-Bold" w:cs="Helvetica-Bold"/>
        <w:b/>
        <w:bCs/>
        <w:noProof/>
        <w:color w:val="000000"/>
        <w:sz w:val="20"/>
        <w:szCs w:val="20"/>
      </w:rPr>
      <w:t>3</w:t>
    </w:r>
    <w:r w:rsidRPr="00CD4EDF">
      <w:rPr>
        <w:rFonts w:ascii="Helvetica-Bold" w:hAnsi="Helvetica-Bold" w:cs="Helvetica-Bold"/>
        <w:b/>
        <w:bCs/>
        <w:color w:val="000000"/>
        <w:sz w:val="20"/>
        <w:szCs w:val="20"/>
      </w:rPr>
      <w:fldChar w:fldCharType="end"/>
    </w:r>
    <w:r w:rsidRPr="00CD4EDF">
      <w:rPr>
        <w:rFonts w:ascii="Helvetica-Bold" w:hAnsi="Helvetica-Bold" w:cs="Helvetica-Bold"/>
        <w:b/>
        <w:bCs/>
        <w:color w:val="000000"/>
        <w:sz w:val="20"/>
        <w:szCs w:val="20"/>
      </w:rPr>
      <w:t xml:space="preserve"> of </w:t>
    </w:r>
    <w:r w:rsidRPr="00CD4EDF">
      <w:rPr>
        <w:rFonts w:ascii="Helvetica-Bold" w:hAnsi="Helvetica-Bold" w:cs="Helvetica-Bold"/>
        <w:b/>
        <w:bCs/>
        <w:color w:val="000000"/>
        <w:sz w:val="20"/>
        <w:szCs w:val="20"/>
      </w:rPr>
      <w:fldChar w:fldCharType="begin"/>
    </w:r>
    <w:r w:rsidRPr="00CD4EDF">
      <w:rPr>
        <w:rFonts w:ascii="Helvetica-Bold" w:hAnsi="Helvetica-Bold" w:cs="Helvetica-Bold"/>
        <w:b/>
        <w:bCs/>
        <w:color w:val="000000"/>
        <w:sz w:val="20"/>
        <w:szCs w:val="20"/>
      </w:rPr>
      <w:instrText xml:space="preserve"> NUMPAGES  \* Arabic  \* MERGEFORMAT </w:instrText>
    </w:r>
    <w:r w:rsidRPr="00CD4EDF">
      <w:rPr>
        <w:rFonts w:ascii="Helvetica-Bold" w:hAnsi="Helvetica-Bold" w:cs="Helvetica-Bold"/>
        <w:b/>
        <w:bCs/>
        <w:color w:val="000000"/>
        <w:sz w:val="20"/>
        <w:szCs w:val="20"/>
      </w:rPr>
      <w:fldChar w:fldCharType="separate"/>
    </w:r>
    <w:r w:rsidR="005737D6">
      <w:rPr>
        <w:rFonts w:ascii="Helvetica-Bold" w:hAnsi="Helvetica-Bold" w:cs="Helvetica-Bold"/>
        <w:b/>
        <w:bCs/>
        <w:noProof/>
        <w:color w:val="000000"/>
        <w:sz w:val="20"/>
        <w:szCs w:val="20"/>
      </w:rPr>
      <w:t>36</w:t>
    </w:r>
    <w:r w:rsidRPr="00CD4EDF">
      <w:rPr>
        <w:rFonts w:ascii="Helvetica-Bold" w:hAnsi="Helvetica-Bold" w:cs="Helvetica-Bold"/>
        <w:b/>
        <w:bCs/>
        <w:color w:val="000000"/>
        <w:sz w:val="20"/>
        <w:szCs w:val="20"/>
      </w:rPr>
      <w:fldChar w:fldCharType="end"/>
    </w:r>
  </w:p>
  <w:p w14:paraId="1BBA5D8D" w14:textId="77777777" w:rsidR="00417461" w:rsidRPr="008D0F41" w:rsidRDefault="00417461">
    <w:pPr>
      <w:pStyle w:val="Header"/>
      <w:rPr>
        <w:sz w:val="18"/>
      </w:rPr>
    </w:pPr>
  </w:p>
  <w:p w14:paraId="57A3A8DD" w14:textId="77777777" w:rsidR="00417461" w:rsidRDefault="0041746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58C7" w14:textId="77777777" w:rsidR="00417461" w:rsidRDefault="00417461">
    <w:pPr>
      <w:pStyle w:val="Header"/>
    </w:pPr>
    <w:r>
      <w:rPr>
        <w:rFonts w:ascii="Helvetica-Bold" w:hAnsi="Helvetica-Bold" w:cs="Helvetica-Bold"/>
        <w:b/>
        <w:bCs/>
        <w:noProof/>
        <w:color w:val="000000"/>
        <w:sz w:val="20"/>
        <w:szCs w:val="20"/>
        <w:lang w:eastAsia="en-GB"/>
      </w:rPr>
      <w:drawing>
        <wp:anchor distT="0" distB="0" distL="114300" distR="114300" simplePos="0" relativeHeight="251662336" behindDoc="1" locked="0" layoutInCell="1" allowOverlap="1" wp14:anchorId="4BDA99AD" wp14:editId="1C465F70">
          <wp:simplePos x="0" y="0"/>
          <wp:positionH relativeFrom="margin">
            <wp:posOffset>1616075</wp:posOffset>
          </wp:positionH>
          <wp:positionV relativeFrom="margin">
            <wp:posOffset>-425450</wp:posOffset>
          </wp:positionV>
          <wp:extent cx="5227955" cy="2699385"/>
          <wp:effectExtent l="0" t="0" r="0" b="5715"/>
          <wp:wrapSquare wrapText="bothSides"/>
          <wp:docPr id="19" name="Picture 19" descr="harlaxton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laxton 4col"/>
                  <pic:cNvPicPr>
                    <a:picLocks noChangeAspect="1" noChangeArrowheads="1"/>
                  </pic:cNvPicPr>
                </pic:nvPicPr>
                <pic:blipFill>
                  <a:blip r:embed="rId1">
                    <a:extLst>
                      <a:ext uri="{28A0092B-C50C-407E-A947-70E740481C1C}">
                        <a14:useLocalDpi xmlns:a14="http://schemas.microsoft.com/office/drawing/2010/main" val="0"/>
                      </a:ext>
                    </a:extLst>
                  </a:blip>
                  <a:srcRect t="21729" r="12007"/>
                  <a:stretch>
                    <a:fillRect/>
                  </a:stretch>
                </pic:blipFill>
                <pic:spPr bwMode="auto">
                  <a:xfrm>
                    <a:off x="0" y="0"/>
                    <a:ext cx="5227955" cy="269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360F8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11C06"/>
    <w:multiLevelType w:val="hybridMultilevel"/>
    <w:tmpl w:val="577A36B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357A55"/>
    <w:multiLevelType w:val="hybridMultilevel"/>
    <w:tmpl w:val="D52A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B49B3"/>
    <w:multiLevelType w:val="hybridMultilevel"/>
    <w:tmpl w:val="261A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E39C6"/>
    <w:multiLevelType w:val="hybridMultilevel"/>
    <w:tmpl w:val="5058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60043"/>
    <w:multiLevelType w:val="multilevel"/>
    <w:tmpl w:val="89A4E1A8"/>
    <w:lvl w:ilvl="0">
      <w:start w:val="1"/>
      <w:numFmt w:val="decimal"/>
      <w:lvlText w:val="%1"/>
      <w:lvlJc w:val="left"/>
      <w:pPr>
        <w:ind w:left="420" w:hanging="420"/>
      </w:pPr>
      <w:rPr>
        <w:rFonts w:hint="default"/>
        <w:color w:val="auto"/>
      </w:rPr>
    </w:lvl>
    <w:lvl w:ilvl="1">
      <w:start w:val="1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1B996A72"/>
    <w:multiLevelType w:val="hybridMultilevel"/>
    <w:tmpl w:val="A2C63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87DBC"/>
    <w:multiLevelType w:val="multilevel"/>
    <w:tmpl w:val="3C283E6E"/>
    <w:lvl w:ilvl="0">
      <w:start w:val="1"/>
      <w:numFmt w:val="none"/>
      <w:suff w:val="nothing"/>
      <w:lvlText w:val=""/>
      <w:lvlJc w:val="left"/>
      <w:pPr>
        <w:ind w:left="0" w:firstLine="0"/>
      </w:pPr>
    </w:lvl>
    <w:lvl w:ilvl="1">
      <w:start w:val="1"/>
      <w:numFmt w:val="decimal"/>
      <w:lvlRestart w:val="0"/>
      <w:lvlText w:val="%2."/>
      <w:lvlJc w:val="left"/>
      <w:pPr>
        <w:tabs>
          <w:tab w:val="num" w:pos="720"/>
        </w:tabs>
        <w:ind w:left="720" w:hanging="720"/>
      </w:pPr>
    </w:lvl>
    <w:lvl w:ilvl="2">
      <w:start w:val="1"/>
      <w:numFmt w:val="lowerLetter"/>
      <w:lvlText w:val="(%3)"/>
      <w:lvlJc w:val="left"/>
      <w:pPr>
        <w:tabs>
          <w:tab w:val="num" w:pos="1195"/>
        </w:tabs>
        <w:ind w:left="1195" w:hanging="475"/>
      </w:pPr>
    </w:lvl>
    <w:lvl w:ilvl="3">
      <w:start w:val="1"/>
      <w:numFmt w:val="lowerRoman"/>
      <w:lvlText w:val="(%4)"/>
      <w:lvlJc w:val="left"/>
      <w:pPr>
        <w:tabs>
          <w:tab w:val="num" w:pos="1685"/>
        </w:tabs>
        <w:ind w:left="1685" w:hanging="490"/>
      </w:pPr>
      <w:rPr>
        <w:color w:val="auto"/>
        <w:sz w:val="24"/>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Symbol" w:hAnsi="Symbol" w:hint="default"/>
        <w:color w:val="auto"/>
      </w:rPr>
    </w:lvl>
    <w:lvl w:ilvl="7">
      <w:start w:val="1"/>
      <w:numFmt w:val="bullet"/>
      <w:lvlText w:val=""/>
      <w:lvlJc w:val="left"/>
      <w:pPr>
        <w:tabs>
          <w:tab w:val="num" w:pos="2880"/>
        </w:tabs>
        <w:ind w:left="2880" w:hanging="360"/>
      </w:pPr>
      <w:rPr>
        <w:rFonts w:ascii="Symbol" w:hAnsi="Symbol" w:hint="default"/>
        <w:color w:val="auto"/>
      </w:rPr>
    </w:lvl>
    <w:lvl w:ilvl="8">
      <w:start w:val="1"/>
      <w:numFmt w:val="bullet"/>
      <w:lvlText w:val=""/>
      <w:lvlJc w:val="left"/>
      <w:pPr>
        <w:tabs>
          <w:tab w:val="num" w:pos="3240"/>
        </w:tabs>
        <w:ind w:left="3240" w:hanging="360"/>
      </w:pPr>
      <w:rPr>
        <w:rFonts w:ascii="Symbol" w:hAnsi="Symbol" w:hint="default"/>
        <w:color w:val="auto"/>
      </w:rPr>
    </w:lvl>
  </w:abstractNum>
  <w:abstractNum w:abstractNumId="8" w15:restartNumberingAfterBreak="0">
    <w:nsid w:val="232D3B13"/>
    <w:multiLevelType w:val="hybridMultilevel"/>
    <w:tmpl w:val="06B6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17602"/>
    <w:multiLevelType w:val="hybridMultilevel"/>
    <w:tmpl w:val="6D2A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0"/>
    <w:multiLevelType w:val="hybridMultilevel"/>
    <w:tmpl w:val="F2901256"/>
    <w:lvl w:ilvl="0" w:tplc="F18E80AC">
      <w:start w:val="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0076F"/>
    <w:multiLevelType w:val="hybridMultilevel"/>
    <w:tmpl w:val="B87A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00D56"/>
    <w:multiLevelType w:val="hybridMultilevel"/>
    <w:tmpl w:val="29142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EA5283"/>
    <w:multiLevelType w:val="hybridMultilevel"/>
    <w:tmpl w:val="45CE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97009"/>
    <w:multiLevelType w:val="multilevel"/>
    <w:tmpl w:val="8CF87EF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942A7B"/>
    <w:multiLevelType w:val="hybridMultilevel"/>
    <w:tmpl w:val="A3545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2581D"/>
    <w:multiLevelType w:val="hybridMultilevel"/>
    <w:tmpl w:val="4A1C8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5E55DC"/>
    <w:multiLevelType w:val="multilevel"/>
    <w:tmpl w:val="2D44D2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E775537"/>
    <w:multiLevelType w:val="multilevel"/>
    <w:tmpl w:val="B59EF16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CF7AC9"/>
    <w:multiLevelType w:val="hybridMultilevel"/>
    <w:tmpl w:val="1194B1DE"/>
    <w:lvl w:ilvl="0" w:tplc="F18E80AC">
      <w:start w:val="2"/>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56DC4"/>
    <w:multiLevelType w:val="hybridMultilevel"/>
    <w:tmpl w:val="8AF8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642711"/>
    <w:multiLevelType w:val="hybridMultilevel"/>
    <w:tmpl w:val="907EDB62"/>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9"/>
  </w:num>
  <w:num w:numId="4">
    <w:abstractNumId w:val="1"/>
  </w:num>
  <w:num w:numId="5">
    <w:abstractNumId w:val="10"/>
  </w:num>
  <w:num w:numId="6">
    <w:abstractNumId w:val="19"/>
  </w:num>
  <w:num w:numId="7">
    <w:abstractNumId w:val="21"/>
  </w:num>
  <w:num w:numId="8">
    <w:abstractNumId w:val="15"/>
  </w:num>
  <w:num w:numId="9">
    <w:abstractNumId w:val="3"/>
  </w:num>
  <w:num w:numId="10">
    <w:abstractNumId w:val="8"/>
  </w:num>
  <w:num w:numId="11">
    <w:abstractNumId w:val="11"/>
  </w:num>
  <w:num w:numId="12">
    <w:abstractNumId w:val="13"/>
  </w:num>
  <w:num w:numId="13">
    <w:abstractNumId w:val="20"/>
  </w:num>
  <w:num w:numId="14">
    <w:abstractNumId w:val="2"/>
  </w:num>
  <w:num w:numId="15">
    <w:abstractNumId w:val="12"/>
  </w:num>
  <w:num w:numId="16">
    <w:abstractNumId w:val="16"/>
  </w:num>
  <w:num w:numId="17">
    <w:abstractNumId w:val="18"/>
  </w:num>
  <w:num w:numId="1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9">
    <w:abstractNumId w:val="14"/>
  </w:num>
  <w:num w:numId="20">
    <w:abstractNumId w:val="17"/>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36"/>
    <w:rsid w:val="0000013D"/>
    <w:rsid w:val="00061FFE"/>
    <w:rsid w:val="00062FF0"/>
    <w:rsid w:val="00065AE6"/>
    <w:rsid w:val="00090537"/>
    <w:rsid w:val="000A5D73"/>
    <w:rsid w:val="000C101F"/>
    <w:rsid w:val="000D5768"/>
    <w:rsid w:val="000F770C"/>
    <w:rsid w:val="00101111"/>
    <w:rsid w:val="00106B72"/>
    <w:rsid w:val="00116613"/>
    <w:rsid w:val="001219BA"/>
    <w:rsid w:val="001353BF"/>
    <w:rsid w:val="00140A36"/>
    <w:rsid w:val="00186B63"/>
    <w:rsid w:val="001A54ED"/>
    <w:rsid w:val="001B0650"/>
    <w:rsid w:val="001B22DC"/>
    <w:rsid w:val="001C3B3F"/>
    <w:rsid w:val="001E29C5"/>
    <w:rsid w:val="001F064E"/>
    <w:rsid w:val="001F0C56"/>
    <w:rsid w:val="00210527"/>
    <w:rsid w:val="00231E9B"/>
    <w:rsid w:val="00232D7C"/>
    <w:rsid w:val="002350FF"/>
    <w:rsid w:val="0024053B"/>
    <w:rsid w:val="00242D78"/>
    <w:rsid w:val="00246FD5"/>
    <w:rsid w:val="00247EBB"/>
    <w:rsid w:val="00255B06"/>
    <w:rsid w:val="0026642A"/>
    <w:rsid w:val="00266589"/>
    <w:rsid w:val="00275FC0"/>
    <w:rsid w:val="00290235"/>
    <w:rsid w:val="002A26E4"/>
    <w:rsid w:val="002C0128"/>
    <w:rsid w:val="002F3146"/>
    <w:rsid w:val="00307438"/>
    <w:rsid w:val="003233F3"/>
    <w:rsid w:val="003725E6"/>
    <w:rsid w:val="003750EC"/>
    <w:rsid w:val="00377F62"/>
    <w:rsid w:val="00393A28"/>
    <w:rsid w:val="00393ABA"/>
    <w:rsid w:val="003A516A"/>
    <w:rsid w:val="003B293A"/>
    <w:rsid w:val="003C6DC5"/>
    <w:rsid w:val="003D7ABA"/>
    <w:rsid w:val="003E6F84"/>
    <w:rsid w:val="003E7091"/>
    <w:rsid w:val="00416EC3"/>
    <w:rsid w:val="00417461"/>
    <w:rsid w:val="004245F6"/>
    <w:rsid w:val="004264A1"/>
    <w:rsid w:val="00443EAF"/>
    <w:rsid w:val="00444C82"/>
    <w:rsid w:val="00445C10"/>
    <w:rsid w:val="00451F58"/>
    <w:rsid w:val="00456A9C"/>
    <w:rsid w:val="004762F3"/>
    <w:rsid w:val="00487BC2"/>
    <w:rsid w:val="004B648D"/>
    <w:rsid w:val="00507011"/>
    <w:rsid w:val="005073C3"/>
    <w:rsid w:val="00546610"/>
    <w:rsid w:val="00550ADD"/>
    <w:rsid w:val="0055670D"/>
    <w:rsid w:val="0056068D"/>
    <w:rsid w:val="005737D6"/>
    <w:rsid w:val="005A3ED1"/>
    <w:rsid w:val="005A519C"/>
    <w:rsid w:val="005C2DF7"/>
    <w:rsid w:val="005E6FEC"/>
    <w:rsid w:val="00617254"/>
    <w:rsid w:val="00632ACD"/>
    <w:rsid w:val="00635D39"/>
    <w:rsid w:val="0068352E"/>
    <w:rsid w:val="00683DEA"/>
    <w:rsid w:val="0069787F"/>
    <w:rsid w:val="006B119E"/>
    <w:rsid w:val="006B5002"/>
    <w:rsid w:val="006D2F5F"/>
    <w:rsid w:val="006D3AE3"/>
    <w:rsid w:val="006E59DC"/>
    <w:rsid w:val="00703854"/>
    <w:rsid w:val="00704626"/>
    <w:rsid w:val="00720273"/>
    <w:rsid w:val="00722159"/>
    <w:rsid w:val="00734893"/>
    <w:rsid w:val="00742ABC"/>
    <w:rsid w:val="007452CE"/>
    <w:rsid w:val="007630B2"/>
    <w:rsid w:val="00785938"/>
    <w:rsid w:val="00787B44"/>
    <w:rsid w:val="007A4FB0"/>
    <w:rsid w:val="007D29C5"/>
    <w:rsid w:val="007E5ECA"/>
    <w:rsid w:val="007F6AE7"/>
    <w:rsid w:val="0082533E"/>
    <w:rsid w:val="0082559D"/>
    <w:rsid w:val="00827E0F"/>
    <w:rsid w:val="008308F2"/>
    <w:rsid w:val="008474F5"/>
    <w:rsid w:val="008818C1"/>
    <w:rsid w:val="008930F1"/>
    <w:rsid w:val="008952AD"/>
    <w:rsid w:val="008A2085"/>
    <w:rsid w:val="008B2D30"/>
    <w:rsid w:val="008D0F41"/>
    <w:rsid w:val="008D41A7"/>
    <w:rsid w:val="008E6E92"/>
    <w:rsid w:val="009071E4"/>
    <w:rsid w:val="00912F3C"/>
    <w:rsid w:val="00945936"/>
    <w:rsid w:val="00960873"/>
    <w:rsid w:val="009624AE"/>
    <w:rsid w:val="009715CB"/>
    <w:rsid w:val="00975AA4"/>
    <w:rsid w:val="00990B1F"/>
    <w:rsid w:val="00992381"/>
    <w:rsid w:val="009956AD"/>
    <w:rsid w:val="00997443"/>
    <w:rsid w:val="009A0CDE"/>
    <w:rsid w:val="009A4C88"/>
    <w:rsid w:val="009D4058"/>
    <w:rsid w:val="009E099E"/>
    <w:rsid w:val="009F677B"/>
    <w:rsid w:val="009F67C4"/>
    <w:rsid w:val="00A006AA"/>
    <w:rsid w:val="00A067B0"/>
    <w:rsid w:val="00A24781"/>
    <w:rsid w:val="00A36FFD"/>
    <w:rsid w:val="00A41285"/>
    <w:rsid w:val="00A55B71"/>
    <w:rsid w:val="00AC3DF7"/>
    <w:rsid w:val="00AC7E44"/>
    <w:rsid w:val="00AD2638"/>
    <w:rsid w:val="00AF1642"/>
    <w:rsid w:val="00AF7B7D"/>
    <w:rsid w:val="00B20CF4"/>
    <w:rsid w:val="00B37731"/>
    <w:rsid w:val="00B50D3F"/>
    <w:rsid w:val="00B562C4"/>
    <w:rsid w:val="00B5636B"/>
    <w:rsid w:val="00B61FDD"/>
    <w:rsid w:val="00B65649"/>
    <w:rsid w:val="00B742F7"/>
    <w:rsid w:val="00B9149E"/>
    <w:rsid w:val="00BA1827"/>
    <w:rsid w:val="00BC6CEE"/>
    <w:rsid w:val="00BD1482"/>
    <w:rsid w:val="00BD746D"/>
    <w:rsid w:val="00BE1A27"/>
    <w:rsid w:val="00C37A8C"/>
    <w:rsid w:val="00C43ED5"/>
    <w:rsid w:val="00C944A7"/>
    <w:rsid w:val="00CB0F28"/>
    <w:rsid w:val="00CB6EC5"/>
    <w:rsid w:val="00CB7DB4"/>
    <w:rsid w:val="00CC7459"/>
    <w:rsid w:val="00CD4EDF"/>
    <w:rsid w:val="00CD6D42"/>
    <w:rsid w:val="00CE40B6"/>
    <w:rsid w:val="00CE4C73"/>
    <w:rsid w:val="00CF1D61"/>
    <w:rsid w:val="00D02358"/>
    <w:rsid w:val="00D02BD7"/>
    <w:rsid w:val="00D51D00"/>
    <w:rsid w:val="00D62406"/>
    <w:rsid w:val="00D750D6"/>
    <w:rsid w:val="00D9453F"/>
    <w:rsid w:val="00DA0340"/>
    <w:rsid w:val="00DB0C65"/>
    <w:rsid w:val="00DB4A64"/>
    <w:rsid w:val="00DB7C08"/>
    <w:rsid w:val="00DD2132"/>
    <w:rsid w:val="00DE011F"/>
    <w:rsid w:val="00DE260D"/>
    <w:rsid w:val="00E1246A"/>
    <w:rsid w:val="00E16BF3"/>
    <w:rsid w:val="00E2481B"/>
    <w:rsid w:val="00E36B41"/>
    <w:rsid w:val="00E72CAF"/>
    <w:rsid w:val="00E74A4A"/>
    <w:rsid w:val="00E811B3"/>
    <w:rsid w:val="00E83037"/>
    <w:rsid w:val="00E9365A"/>
    <w:rsid w:val="00EA2CED"/>
    <w:rsid w:val="00EA6F99"/>
    <w:rsid w:val="00EB0EB2"/>
    <w:rsid w:val="00EB21B4"/>
    <w:rsid w:val="00EB608A"/>
    <w:rsid w:val="00EC407D"/>
    <w:rsid w:val="00EC48EB"/>
    <w:rsid w:val="00EF3EB1"/>
    <w:rsid w:val="00F11159"/>
    <w:rsid w:val="00F334F0"/>
    <w:rsid w:val="00F37752"/>
    <w:rsid w:val="00F44706"/>
    <w:rsid w:val="00F829B7"/>
    <w:rsid w:val="00F90E77"/>
    <w:rsid w:val="00FE78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4877CE6"/>
  <w15:docId w15:val="{8FBBAE48-D065-464E-84CB-DFAC4836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6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A2CE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058"/>
    <w:rPr>
      <w:color w:val="808080"/>
    </w:rPr>
  </w:style>
  <w:style w:type="character" w:styleId="Hyperlink">
    <w:name w:val="Hyperlink"/>
    <w:basedOn w:val="DefaultParagraphFont"/>
    <w:uiPriority w:val="99"/>
    <w:unhideWhenUsed/>
    <w:rsid w:val="00210527"/>
    <w:rPr>
      <w:color w:val="0563C1" w:themeColor="hyperlink"/>
      <w:u w:val="single"/>
    </w:rPr>
  </w:style>
  <w:style w:type="table" w:styleId="TableGrid">
    <w:name w:val="Table Grid"/>
    <w:basedOn w:val="TableNormal"/>
    <w:uiPriority w:val="39"/>
    <w:rsid w:val="00210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132"/>
    <w:pPr>
      <w:ind w:left="720"/>
      <w:contextualSpacing/>
    </w:pPr>
  </w:style>
  <w:style w:type="paragraph" w:styleId="Header">
    <w:name w:val="header"/>
    <w:basedOn w:val="Normal"/>
    <w:link w:val="HeaderChar"/>
    <w:uiPriority w:val="99"/>
    <w:unhideWhenUsed/>
    <w:rsid w:val="00EC4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07D"/>
  </w:style>
  <w:style w:type="paragraph" w:styleId="Footer">
    <w:name w:val="footer"/>
    <w:basedOn w:val="Normal"/>
    <w:link w:val="FooterChar"/>
    <w:uiPriority w:val="99"/>
    <w:unhideWhenUsed/>
    <w:rsid w:val="00EC4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07D"/>
  </w:style>
  <w:style w:type="paragraph" w:styleId="BalloonText">
    <w:name w:val="Balloon Text"/>
    <w:basedOn w:val="Normal"/>
    <w:link w:val="BalloonTextChar"/>
    <w:uiPriority w:val="99"/>
    <w:semiHidden/>
    <w:unhideWhenUsed/>
    <w:rsid w:val="00CD4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EDF"/>
    <w:rPr>
      <w:rFonts w:ascii="Tahoma" w:hAnsi="Tahoma" w:cs="Tahoma"/>
      <w:sz w:val="16"/>
      <w:szCs w:val="16"/>
    </w:rPr>
  </w:style>
  <w:style w:type="character" w:styleId="FollowedHyperlink">
    <w:name w:val="FollowedHyperlink"/>
    <w:basedOn w:val="DefaultParagraphFont"/>
    <w:uiPriority w:val="99"/>
    <w:semiHidden/>
    <w:unhideWhenUsed/>
    <w:rsid w:val="00E811B3"/>
    <w:rPr>
      <w:color w:val="954F72" w:themeColor="followedHyperlink"/>
      <w:u w:val="single"/>
    </w:rPr>
  </w:style>
  <w:style w:type="paragraph" w:customStyle="1" w:styleId="Default">
    <w:name w:val="Default"/>
    <w:rsid w:val="006D3AE3"/>
    <w:pPr>
      <w:autoSpaceDE w:val="0"/>
      <w:autoSpaceDN w:val="0"/>
      <w:adjustRightInd w:val="0"/>
      <w:spacing w:after="0" w:line="240" w:lineRule="auto"/>
    </w:pPr>
    <w:rPr>
      <w:rFonts w:ascii="Tahoma" w:hAnsi="Tahoma" w:cs="Tahoma"/>
      <w:color w:val="000000"/>
      <w:sz w:val="24"/>
      <w:szCs w:val="24"/>
    </w:rPr>
  </w:style>
  <w:style w:type="character" w:customStyle="1" w:styleId="Heading1Char">
    <w:name w:val="Heading 1 Char"/>
    <w:basedOn w:val="DefaultParagraphFont"/>
    <w:link w:val="Heading1"/>
    <w:uiPriority w:val="9"/>
    <w:rsid w:val="00A36F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36FFD"/>
    <w:pPr>
      <w:outlineLvl w:val="9"/>
    </w:pPr>
    <w:rPr>
      <w:lang w:val="en-US"/>
    </w:rPr>
  </w:style>
  <w:style w:type="paragraph" w:styleId="Subtitle">
    <w:name w:val="Subtitle"/>
    <w:basedOn w:val="Normal"/>
    <w:next w:val="Normal"/>
    <w:link w:val="SubtitleChar"/>
    <w:uiPriority w:val="11"/>
    <w:qFormat/>
    <w:rsid w:val="00A36FF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6FFD"/>
    <w:rPr>
      <w:rFonts w:eastAsiaTheme="minorEastAsia"/>
      <w:color w:val="5A5A5A" w:themeColor="text1" w:themeTint="A5"/>
      <w:spacing w:val="15"/>
    </w:rPr>
  </w:style>
  <w:style w:type="paragraph" w:styleId="TOC1">
    <w:name w:val="toc 1"/>
    <w:basedOn w:val="Normal"/>
    <w:next w:val="Normal"/>
    <w:autoRedefine/>
    <w:uiPriority w:val="39"/>
    <w:unhideWhenUsed/>
    <w:rsid w:val="00443EAF"/>
    <w:pPr>
      <w:spacing w:after="100"/>
    </w:pPr>
  </w:style>
  <w:style w:type="paragraph" w:styleId="TOC2">
    <w:name w:val="toc 2"/>
    <w:basedOn w:val="Normal"/>
    <w:next w:val="Normal"/>
    <w:autoRedefine/>
    <w:uiPriority w:val="39"/>
    <w:unhideWhenUsed/>
    <w:rsid w:val="005C2DF7"/>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5C2DF7"/>
    <w:pPr>
      <w:spacing w:after="100"/>
      <w:ind w:left="440"/>
    </w:pPr>
    <w:rPr>
      <w:rFonts w:eastAsiaTheme="minorEastAsia" w:cs="Times New Roman"/>
      <w:lang w:val="en-US"/>
    </w:rPr>
  </w:style>
  <w:style w:type="paragraph" w:styleId="EndnoteText">
    <w:name w:val="endnote text"/>
    <w:basedOn w:val="Normal"/>
    <w:link w:val="EndnoteTextChar"/>
    <w:uiPriority w:val="99"/>
    <w:semiHidden/>
    <w:unhideWhenUsed/>
    <w:rsid w:val="00C43E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ED5"/>
    <w:rPr>
      <w:sz w:val="20"/>
      <w:szCs w:val="20"/>
    </w:rPr>
  </w:style>
  <w:style w:type="character" w:styleId="EndnoteReference">
    <w:name w:val="endnote reference"/>
    <w:basedOn w:val="DefaultParagraphFont"/>
    <w:uiPriority w:val="99"/>
    <w:semiHidden/>
    <w:unhideWhenUsed/>
    <w:rsid w:val="00C43ED5"/>
    <w:rPr>
      <w:vertAlign w:val="superscript"/>
    </w:rPr>
  </w:style>
  <w:style w:type="paragraph" w:styleId="FootnoteText">
    <w:name w:val="footnote text"/>
    <w:basedOn w:val="Normal"/>
    <w:link w:val="FootnoteTextChar"/>
    <w:uiPriority w:val="99"/>
    <w:semiHidden/>
    <w:unhideWhenUsed/>
    <w:rsid w:val="001219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19BA"/>
    <w:rPr>
      <w:sz w:val="20"/>
      <w:szCs w:val="20"/>
    </w:rPr>
  </w:style>
  <w:style w:type="character" w:styleId="FootnoteReference">
    <w:name w:val="footnote reference"/>
    <w:basedOn w:val="DefaultParagraphFont"/>
    <w:uiPriority w:val="99"/>
    <w:unhideWhenUsed/>
    <w:rsid w:val="001219BA"/>
    <w:rPr>
      <w:vertAlign w:val="superscript"/>
    </w:rPr>
  </w:style>
  <w:style w:type="paragraph" w:customStyle="1" w:styleId="Text">
    <w:name w:val="Text"/>
    <w:basedOn w:val="Normal"/>
    <w:rsid w:val="006E59DC"/>
    <w:pPr>
      <w:tabs>
        <w:tab w:val="num" w:pos="720"/>
      </w:tabs>
      <w:spacing w:after="240" w:line="240" w:lineRule="auto"/>
      <w:ind w:left="720" w:hanging="720"/>
      <w:jc w:val="both"/>
    </w:pPr>
    <w:rPr>
      <w:rFonts w:ascii="Times New Roman" w:eastAsia="Times New Roman" w:hAnsi="Times New Roman" w:cs="Times New Roman"/>
      <w:kern w:val="14"/>
      <w:sz w:val="24"/>
      <w:szCs w:val="20"/>
      <w:lang w:bidi="en-US"/>
    </w:rPr>
  </w:style>
  <w:style w:type="paragraph" w:styleId="ListBullet">
    <w:name w:val="List Bullet"/>
    <w:basedOn w:val="Normal"/>
    <w:semiHidden/>
    <w:unhideWhenUsed/>
    <w:rsid w:val="006E59DC"/>
    <w:pPr>
      <w:tabs>
        <w:tab w:val="num" w:pos="1195"/>
      </w:tabs>
      <w:spacing w:after="240" w:line="240" w:lineRule="auto"/>
      <w:ind w:left="1195" w:hanging="475"/>
      <w:jc w:val="both"/>
    </w:pPr>
    <w:rPr>
      <w:rFonts w:ascii="Times New Roman" w:eastAsia="Times New Roman" w:hAnsi="Times New Roman" w:cs="Times New Roman"/>
      <w:kern w:val="14"/>
      <w:sz w:val="24"/>
      <w:szCs w:val="20"/>
      <w:lang w:bidi="en-US"/>
    </w:rPr>
  </w:style>
  <w:style w:type="paragraph" w:styleId="ListBullet2">
    <w:name w:val="List Bullet 2"/>
    <w:basedOn w:val="Normal"/>
    <w:semiHidden/>
    <w:unhideWhenUsed/>
    <w:rsid w:val="006E59DC"/>
    <w:pPr>
      <w:tabs>
        <w:tab w:val="num" w:pos="1685"/>
      </w:tabs>
      <w:spacing w:after="240" w:line="240" w:lineRule="auto"/>
      <w:ind w:left="1685" w:hanging="490"/>
      <w:jc w:val="both"/>
    </w:pPr>
    <w:rPr>
      <w:rFonts w:ascii="Times New Roman" w:eastAsia="Times New Roman" w:hAnsi="Times New Roman" w:cs="Times New Roman"/>
      <w:kern w:val="14"/>
      <w:sz w:val="24"/>
      <w:szCs w:val="20"/>
      <w:lang w:bidi="en-US"/>
    </w:rPr>
  </w:style>
  <w:style w:type="paragraph" w:customStyle="1" w:styleId="Quotation">
    <w:name w:val="Quotation"/>
    <w:basedOn w:val="BodyText"/>
    <w:rsid w:val="006E59DC"/>
    <w:pPr>
      <w:spacing w:after="240" w:line="240" w:lineRule="auto"/>
      <w:ind w:left="1080" w:right="360"/>
      <w:jc w:val="both"/>
    </w:pPr>
    <w:rPr>
      <w:rFonts w:ascii="Times New Roman" w:eastAsia="Times New Roman" w:hAnsi="Times New Roman" w:cs="Times New Roman"/>
      <w:spacing w:val="-4"/>
      <w:kern w:val="20"/>
      <w:sz w:val="24"/>
      <w:szCs w:val="20"/>
      <w:lang w:bidi="en-US"/>
    </w:rPr>
  </w:style>
  <w:style w:type="paragraph" w:styleId="BodyText">
    <w:name w:val="Body Text"/>
    <w:basedOn w:val="Normal"/>
    <w:link w:val="BodyTextChar"/>
    <w:uiPriority w:val="99"/>
    <w:semiHidden/>
    <w:unhideWhenUsed/>
    <w:rsid w:val="006E59DC"/>
    <w:pPr>
      <w:spacing w:after="120"/>
    </w:pPr>
  </w:style>
  <w:style w:type="character" w:customStyle="1" w:styleId="BodyTextChar">
    <w:name w:val="Body Text Char"/>
    <w:basedOn w:val="DefaultParagraphFont"/>
    <w:link w:val="BodyText"/>
    <w:uiPriority w:val="99"/>
    <w:semiHidden/>
    <w:rsid w:val="006E59DC"/>
  </w:style>
  <w:style w:type="character" w:customStyle="1" w:styleId="Heading3Char">
    <w:name w:val="Heading 3 Char"/>
    <w:basedOn w:val="DefaultParagraphFont"/>
    <w:link w:val="Heading3"/>
    <w:uiPriority w:val="9"/>
    <w:semiHidden/>
    <w:rsid w:val="00EA2CE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9821">
      <w:bodyDiv w:val="1"/>
      <w:marLeft w:val="0"/>
      <w:marRight w:val="0"/>
      <w:marTop w:val="0"/>
      <w:marBottom w:val="0"/>
      <w:divBdr>
        <w:top w:val="none" w:sz="0" w:space="0" w:color="auto"/>
        <w:left w:val="none" w:sz="0" w:space="0" w:color="auto"/>
        <w:bottom w:val="none" w:sz="0" w:space="0" w:color="auto"/>
        <w:right w:val="none" w:sz="0" w:space="0" w:color="auto"/>
      </w:divBdr>
    </w:div>
    <w:div w:id="223958045">
      <w:bodyDiv w:val="1"/>
      <w:marLeft w:val="0"/>
      <w:marRight w:val="0"/>
      <w:marTop w:val="0"/>
      <w:marBottom w:val="0"/>
      <w:divBdr>
        <w:top w:val="none" w:sz="0" w:space="0" w:color="auto"/>
        <w:left w:val="none" w:sz="0" w:space="0" w:color="auto"/>
        <w:bottom w:val="none" w:sz="0" w:space="0" w:color="auto"/>
        <w:right w:val="none" w:sz="0" w:space="0" w:color="auto"/>
      </w:divBdr>
    </w:div>
    <w:div w:id="436415117">
      <w:bodyDiv w:val="1"/>
      <w:marLeft w:val="0"/>
      <w:marRight w:val="0"/>
      <w:marTop w:val="0"/>
      <w:marBottom w:val="0"/>
      <w:divBdr>
        <w:top w:val="none" w:sz="0" w:space="0" w:color="auto"/>
        <w:left w:val="none" w:sz="0" w:space="0" w:color="auto"/>
        <w:bottom w:val="none" w:sz="0" w:space="0" w:color="auto"/>
        <w:right w:val="none" w:sz="0" w:space="0" w:color="auto"/>
      </w:divBdr>
    </w:div>
    <w:div w:id="467820750">
      <w:bodyDiv w:val="1"/>
      <w:marLeft w:val="0"/>
      <w:marRight w:val="0"/>
      <w:marTop w:val="0"/>
      <w:marBottom w:val="0"/>
      <w:divBdr>
        <w:top w:val="none" w:sz="0" w:space="0" w:color="auto"/>
        <w:left w:val="none" w:sz="0" w:space="0" w:color="auto"/>
        <w:bottom w:val="none" w:sz="0" w:space="0" w:color="auto"/>
        <w:right w:val="none" w:sz="0" w:space="0" w:color="auto"/>
      </w:divBdr>
    </w:div>
    <w:div w:id="512767573">
      <w:bodyDiv w:val="1"/>
      <w:marLeft w:val="0"/>
      <w:marRight w:val="0"/>
      <w:marTop w:val="0"/>
      <w:marBottom w:val="0"/>
      <w:divBdr>
        <w:top w:val="none" w:sz="0" w:space="0" w:color="auto"/>
        <w:left w:val="none" w:sz="0" w:space="0" w:color="auto"/>
        <w:bottom w:val="none" w:sz="0" w:space="0" w:color="auto"/>
        <w:right w:val="none" w:sz="0" w:space="0" w:color="auto"/>
      </w:divBdr>
    </w:div>
    <w:div w:id="531188588">
      <w:bodyDiv w:val="1"/>
      <w:marLeft w:val="0"/>
      <w:marRight w:val="0"/>
      <w:marTop w:val="0"/>
      <w:marBottom w:val="0"/>
      <w:divBdr>
        <w:top w:val="none" w:sz="0" w:space="0" w:color="auto"/>
        <w:left w:val="none" w:sz="0" w:space="0" w:color="auto"/>
        <w:bottom w:val="none" w:sz="0" w:space="0" w:color="auto"/>
        <w:right w:val="none" w:sz="0" w:space="0" w:color="auto"/>
      </w:divBdr>
    </w:div>
    <w:div w:id="667051839">
      <w:bodyDiv w:val="1"/>
      <w:marLeft w:val="0"/>
      <w:marRight w:val="0"/>
      <w:marTop w:val="0"/>
      <w:marBottom w:val="0"/>
      <w:divBdr>
        <w:top w:val="none" w:sz="0" w:space="0" w:color="auto"/>
        <w:left w:val="none" w:sz="0" w:space="0" w:color="auto"/>
        <w:bottom w:val="none" w:sz="0" w:space="0" w:color="auto"/>
        <w:right w:val="none" w:sz="0" w:space="0" w:color="auto"/>
      </w:divBdr>
    </w:div>
    <w:div w:id="681783472">
      <w:bodyDiv w:val="1"/>
      <w:marLeft w:val="0"/>
      <w:marRight w:val="0"/>
      <w:marTop w:val="0"/>
      <w:marBottom w:val="0"/>
      <w:divBdr>
        <w:top w:val="none" w:sz="0" w:space="0" w:color="auto"/>
        <w:left w:val="none" w:sz="0" w:space="0" w:color="auto"/>
        <w:bottom w:val="none" w:sz="0" w:space="0" w:color="auto"/>
        <w:right w:val="none" w:sz="0" w:space="0" w:color="auto"/>
      </w:divBdr>
    </w:div>
    <w:div w:id="687488727">
      <w:bodyDiv w:val="1"/>
      <w:marLeft w:val="0"/>
      <w:marRight w:val="0"/>
      <w:marTop w:val="0"/>
      <w:marBottom w:val="0"/>
      <w:divBdr>
        <w:top w:val="none" w:sz="0" w:space="0" w:color="auto"/>
        <w:left w:val="none" w:sz="0" w:space="0" w:color="auto"/>
        <w:bottom w:val="none" w:sz="0" w:space="0" w:color="auto"/>
        <w:right w:val="none" w:sz="0" w:space="0" w:color="auto"/>
      </w:divBdr>
    </w:div>
    <w:div w:id="719132173">
      <w:bodyDiv w:val="1"/>
      <w:marLeft w:val="0"/>
      <w:marRight w:val="0"/>
      <w:marTop w:val="0"/>
      <w:marBottom w:val="0"/>
      <w:divBdr>
        <w:top w:val="none" w:sz="0" w:space="0" w:color="auto"/>
        <w:left w:val="none" w:sz="0" w:space="0" w:color="auto"/>
        <w:bottom w:val="none" w:sz="0" w:space="0" w:color="auto"/>
        <w:right w:val="none" w:sz="0" w:space="0" w:color="auto"/>
      </w:divBdr>
    </w:div>
    <w:div w:id="844438476">
      <w:bodyDiv w:val="1"/>
      <w:marLeft w:val="0"/>
      <w:marRight w:val="0"/>
      <w:marTop w:val="0"/>
      <w:marBottom w:val="0"/>
      <w:divBdr>
        <w:top w:val="none" w:sz="0" w:space="0" w:color="auto"/>
        <w:left w:val="none" w:sz="0" w:space="0" w:color="auto"/>
        <w:bottom w:val="none" w:sz="0" w:space="0" w:color="auto"/>
        <w:right w:val="none" w:sz="0" w:space="0" w:color="auto"/>
      </w:divBdr>
    </w:div>
    <w:div w:id="857426995">
      <w:bodyDiv w:val="1"/>
      <w:marLeft w:val="0"/>
      <w:marRight w:val="0"/>
      <w:marTop w:val="0"/>
      <w:marBottom w:val="0"/>
      <w:divBdr>
        <w:top w:val="none" w:sz="0" w:space="0" w:color="auto"/>
        <w:left w:val="none" w:sz="0" w:space="0" w:color="auto"/>
        <w:bottom w:val="none" w:sz="0" w:space="0" w:color="auto"/>
        <w:right w:val="none" w:sz="0" w:space="0" w:color="auto"/>
      </w:divBdr>
    </w:div>
    <w:div w:id="1039861979">
      <w:bodyDiv w:val="1"/>
      <w:marLeft w:val="0"/>
      <w:marRight w:val="0"/>
      <w:marTop w:val="0"/>
      <w:marBottom w:val="0"/>
      <w:divBdr>
        <w:top w:val="none" w:sz="0" w:space="0" w:color="auto"/>
        <w:left w:val="none" w:sz="0" w:space="0" w:color="auto"/>
        <w:bottom w:val="none" w:sz="0" w:space="0" w:color="auto"/>
        <w:right w:val="none" w:sz="0" w:space="0" w:color="auto"/>
      </w:divBdr>
    </w:div>
    <w:div w:id="1065487623">
      <w:bodyDiv w:val="1"/>
      <w:marLeft w:val="0"/>
      <w:marRight w:val="0"/>
      <w:marTop w:val="0"/>
      <w:marBottom w:val="0"/>
      <w:divBdr>
        <w:top w:val="none" w:sz="0" w:space="0" w:color="auto"/>
        <w:left w:val="none" w:sz="0" w:space="0" w:color="auto"/>
        <w:bottom w:val="none" w:sz="0" w:space="0" w:color="auto"/>
        <w:right w:val="none" w:sz="0" w:space="0" w:color="auto"/>
      </w:divBdr>
    </w:div>
    <w:div w:id="1109469547">
      <w:bodyDiv w:val="1"/>
      <w:marLeft w:val="0"/>
      <w:marRight w:val="0"/>
      <w:marTop w:val="0"/>
      <w:marBottom w:val="0"/>
      <w:divBdr>
        <w:top w:val="none" w:sz="0" w:space="0" w:color="auto"/>
        <w:left w:val="none" w:sz="0" w:space="0" w:color="auto"/>
        <w:bottom w:val="none" w:sz="0" w:space="0" w:color="auto"/>
        <w:right w:val="none" w:sz="0" w:space="0" w:color="auto"/>
      </w:divBdr>
    </w:div>
    <w:div w:id="1168640274">
      <w:bodyDiv w:val="1"/>
      <w:marLeft w:val="0"/>
      <w:marRight w:val="0"/>
      <w:marTop w:val="0"/>
      <w:marBottom w:val="0"/>
      <w:divBdr>
        <w:top w:val="none" w:sz="0" w:space="0" w:color="auto"/>
        <w:left w:val="none" w:sz="0" w:space="0" w:color="auto"/>
        <w:bottom w:val="none" w:sz="0" w:space="0" w:color="auto"/>
        <w:right w:val="none" w:sz="0" w:space="0" w:color="auto"/>
      </w:divBdr>
    </w:div>
    <w:div w:id="1245995417">
      <w:bodyDiv w:val="1"/>
      <w:marLeft w:val="0"/>
      <w:marRight w:val="0"/>
      <w:marTop w:val="0"/>
      <w:marBottom w:val="0"/>
      <w:divBdr>
        <w:top w:val="none" w:sz="0" w:space="0" w:color="auto"/>
        <w:left w:val="none" w:sz="0" w:space="0" w:color="auto"/>
        <w:bottom w:val="none" w:sz="0" w:space="0" w:color="auto"/>
        <w:right w:val="none" w:sz="0" w:space="0" w:color="auto"/>
      </w:divBdr>
    </w:div>
    <w:div w:id="1306010039">
      <w:bodyDiv w:val="1"/>
      <w:marLeft w:val="0"/>
      <w:marRight w:val="0"/>
      <w:marTop w:val="0"/>
      <w:marBottom w:val="0"/>
      <w:divBdr>
        <w:top w:val="none" w:sz="0" w:space="0" w:color="auto"/>
        <w:left w:val="none" w:sz="0" w:space="0" w:color="auto"/>
        <w:bottom w:val="none" w:sz="0" w:space="0" w:color="auto"/>
        <w:right w:val="none" w:sz="0" w:space="0" w:color="auto"/>
      </w:divBdr>
    </w:div>
    <w:div w:id="1351953444">
      <w:bodyDiv w:val="1"/>
      <w:marLeft w:val="0"/>
      <w:marRight w:val="0"/>
      <w:marTop w:val="0"/>
      <w:marBottom w:val="0"/>
      <w:divBdr>
        <w:top w:val="none" w:sz="0" w:space="0" w:color="auto"/>
        <w:left w:val="none" w:sz="0" w:space="0" w:color="auto"/>
        <w:bottom w:val="none" w:sz="0" w:space="0" w:color="auto"/>
        <w:right w:val="none" w:sz="0" w:space="0" w:color="auto"/>
      </w:divBdr>
    </w:div>
    <w:div w:id="1377199104">
      <w:bodyDiv w:val="1"/>
      <w:marLeft w:val="0"/>
      <w:marRight w:val="0"/>
      <w:marTop w:val="0"/>
      <w:marBottom w:val="0"/>
      <w:divBdr>
        <w:top w:val="none" w:sz="0" w:space="0" w:color="auto"/>
        <w:left w:val="none" w:sz="0" w:space="0" w:color="auto"/>
        <w:bottom w:val="none" w:sz="0" w:space="0" w:color="auto"/>
        <w:right w:val="none" w:sz="0" w:space="0" w:color="auto"/>
      </w:divBdr>
    </w:div>
    <w:div w:id="1401976316">
      <w:bodyDiv w:val="1"/>
      <w:marLeft w:val="0"/>
      <w:marRight w:val="0"/>
      <w:marTop w:val="0"/>
      <w:marBottom w:val="0"/>
      <w:divBdr>
        <w:top w:val="none" w:sz="0" w:space="0" w:color="auto"/>
        <w:left w:val="none" w:sz="0" w:space="0" w:color="auto"/>
        <w:bottom w:val="none" w:sz="0" w:space="0" w:color="auto"/>
        <w:right w:val="none" w:sz="0" w:space="0" w:color="auto"/>
      </w:divBdr>
    </w:div>
    <w:div w:id="1587106008">
      <w:bodyDiv w:val="1"/>
      <w:marLeft w:val="0"/>
      <w:marRight w:val="0"/>
      <w:marTop w:val="0"/>
      <w:marBottom w:val="0"/>
      <w:divBdr>
        <w:top w:val="none" w:sz="0" w:space="0" w:color="auto"/>
        <w:left w:val="none" w:sz="0" w:space="0" w:color="auto"/>
        <w:bottom w:val="none" w:sz="0" w:space="0" w:color="auto"/>
        <w:right w:val="none" w:sz="0" w:space="0" w:color="auto"/>
      </w:divBdr>
    </w:div>
    <w:div w:id="1677728064">
      <w:bodyDiv w:val="1"/>
      <w:marLeft w:val="0"/>
      <w:marRight w:val="0"/>
      <w:marTop w:val="0"/>
      <w:marBottom w:val="0"/>
      <w:divBdr>
        <w:top w:val="none" w:sz="0" w:space="0" w:color="auto"/>
        <w:left w:val="none" w:sz="0" w:space="0" w:color="auto"/>
        <w:bottom w:val="none" w:sz="0" w:space="0" w:color="auto"/>
        <w:right w:val="none" w:sz="0" w:space="0" w:color="auto"/>
      </w:divBdr>
    </w:div>
    <w:div w:id="1858888711">
      <w:bodyDiv w:val="1"/>
      <w:marLeft w:val="0"/>
      <w:marRight w:val="0"/>
      <w:marTop w:val="0"/>
      <w:marBottom w:val="0"/>
      <w:divBdr>
        <w:top w:val="none" w:sz="0" w:space="0" w:color="auto"/>
        <w:left w:val="none" w:sz="0" w:space="0" w:color="auto"/>
        <w:bottom w:val="none" w:sz="0" w:space="0" w:color="auto"/>
        <w:right w:val="none" w:sz="0" w:space="0" w:color="auto"/>
      </w:divBdr>
    </w:div>
    <w:div w:id="1950045865">
      <w:bodyDiv w:val="1"/>
      <w:marLeft w:val="0"/>
      <w:marRight w:val="0"/>
      <w:marTop w:val="0"/>
      <w:marBottom w:val="0"/>
      <w:divBdr>
        <w:top w:val="none" w:sz="0" w:space="0" w:color="auto"/>
        <w:left w:val="none" w:sz="0" w:space="0" w:color="auto"/>
        <w:bottom w:val="none" w:sz="0" w:space="0" w:color="auto"/>
        <w:right w:val="none" w:sz="0" w:space="0" w:color="auto"/>
      </w:divBdr>
    </w:div>
    <w:div w:id="2089885317">
      <w:bodyDiv w:val="1"/>
      <w:marLeft w:val="0"/>
      <w:marRight w:val="0"/>
      <w:marTop w:val="0"/>
      <w:marBottom w:val="0"/>
      <w:divBdr>
        <w:top w:val="none" w:sz="0" w:space="0" w:color="auto"/>
        <w:left w:val="none" w:sz="0" w:space="0" w:color="auto"/>
        <w:bottom w:val="none" w:sz="0" w:space="0" w:color="auto"/>
        <w:right w:val="none" w:sz="0" w:space="0" w:color="auto"/>
      </w:divBdr>
    </w:div>
    <w:div w:id="21252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ley.connors@harlaxtonenergynetworks.com" TargetMode="External"/><Relationship Id="rId13" Type="http://schemas.openxmlformats.org/officeDocument/2006/relationships/hyperlink" Target="mailto:info@harlaxtonenergynetworks.com" TargetMode="External"/><Relationship Id="rId18" Type="http://schemas.openxmlformats.org/officeDocument/2006/relationships/hyperlink" Target="http://www.harlaxtonenergynetworks.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elexonportal.co.uk/usergui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exonportal.co.uk"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arlaxtonenergynetworks.com" TargetMode="External"/><Relationship Id="rId14" Type="http://schemas.openxmlformats.org/officeDocument/2006/relationships/hyperlink" Target="http://harlaxtonenergynetworks.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www.legislation.gov.uk/uksi/2001/3263/made" TargetMode="External"/><Relationship Id="rId2" Type="http://schemas.openxmlformats.org/officeDocument/2006/relationships/hyperlink" Target="http://www." TargetMode="External"/><Relationship Id="rId1" Type="http://schemas.openxmlformats.org/officeDocument/2006/relationships/hyperlink" Target="http://www.legislation.gov.uk/uksi/2001/3263/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F7DFF-C04E-47B0-BB4E-57B4BA9A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36</Pages>
  <Words>10968</Words>
  <Characters>62524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73346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Connors</dc:creator>
  <cp:keywords/>
  <dc:description/>
  <cp:lastModifiedBy>Hayley Connors</cp:lastModifiedBy>
  <cp:revision>11</cp:revision>
  <cp:lastPrinted>2015-07-31T14:31:00Z</cp:lastPrinted>
  <dcterms:created xsi:type="dcterms:W3CDTF">2015-07-31T13:49:00Z</dcterms:created>
  <dcterms:modified xsi:type="dcterms:W3CDTF">2015-10-01T13:02:00Z</dcterms:modified>
  <cp:category/>
</cp:coreProperties>
</file>